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A6B04" w14:textId="79078E90" w:rsidR="00E54794" w:rsidRPr="00D25369" w:rsidRDefault="00E15939" w:rsidP="00E54794">
      <w:pPr>
        <w:tabs>
          <w:tab w:val="left" w:pos="2229"/>
        </w:tabs>
        <w:ind w:firstLine="709"/>
        <w:jc w:val="right"/>
        <w:rPr>
          <w:lang w:val="en-US"/>
        </w:rPr>
      </w:pPr>
      <w:r w:rsidRPr="000D6DF9">
        <w:rPr>
          <w:lang w:val="en"/>
        </w:rPr>
        <w:t>Appendix No. </w:t>
      </w:r>
      <w:r w:rsidR="00D25369" w:rsidRPr="00D25369">
        <w:rPr>
          <w:lang w:val="en-US"/>
        </w:rPr>
        <w:t>2</w:t>
      </w:r>
    </w:p>
    <w:p w14:paraId="49385451" w14:textId="77777777" w:rsidR="00E54794" w:rsidRPr="002C5554" w:rsidRDefault="00E15939" w:rsidP="00E54794">
      <w:pPr>
        <w:tabs>
          <w:tab w:val="left" w:pos="2229"/>
        </w:tabs>
        <w:ind w:firstLine="709"/>
        <w:jc w:val="right"/>
        <w:rPr>
          <w:lang w:val="en-US"/>
        </w:rPr>
      </w:pPr>
      <w:r w:rsidRPr="000D6DF9">
        <w:rPr>
          <w:lang w:val="en"/>
        </w:rPr>
        <w:t xml:space="preserve">to the absentee resolution </w:t>
      </w:r>
    </w:p>
    <w:p w14:paraId="1107756E" w14:textId="77777777" w:rsidR="00E54794" w:rsidRPr="002C5554" w:rsidRDefault="00E15939" w:rsidP="00E54794">
      <w:pPr>
        <w:tabs>
          <w:tab w:val="left" w:pos="2229"/>
        </w:tabs>
        <w:ind w:firstLine="709"/>
        <w:jc w:val="right"/>
        <w:rPr>
          <w:lang w:val="en-US"/>
        </w:rPr>
      </w:pPr>
      <w:r w:rsidRPr="000D6DF9">
        <w:rPr>
          <w:lang w:val="en"/>
        </w:rPr>
        <w:t xml:space="preserve">of the Management Board of </w:t>
      </w:r>
      <w:proofErr w:type="spellStart"/>
      <w:r w:rsidRPr="000D6DF9">
        <w:rPr>
          <w:lang w:val="en"/>
        </w:rPr>
        <w:t>Otbasy</w:t>
      </w:r>
      <w:proofErr w:type="spellEnd"/>
      <w:r w:rsidRPr="000D6DF9">
        <w:rPr>
          <w:lang w:val="en"/>
        </w:rPr>
        <w:t xml:space="preserve"> Bank JSC</w:t>
      </w:r>
    </w:p>
    <w:p w14:paraId="01B9598A" w14:textId="77777777" w:rsidR="00D25369" w:rsidRPr="00D25369" w:rsidRDefault="00E15939" w:rsidP="00D25369">
      <w:pPr>
        <w:ind w:firstLine="709"/>
        <w:jc w:val="right"/>
      </w:pPr>
      <w:r w:rsidRPr="000D6DF9">
        <w:rPr>
          <w:lang w:val="en"/>
        </w:rPr>
        <w:t xml:space="preserve">(Minutes No. </w:t>
      </w:r>
      <w:r w:rsidR="00D25369" w:rsidRPr="00D25369">
        <w:rPr>
          <w:lang w:val="en-US"/>
        </w:rPr>
        <w:t>69</w:t>
      </w:r>
      <w:r w:rsidRPr="000D6DF9">
        <w:rPr>
          <w:lang w:val="en"/>
        </w:rPr>
        <w:t xml:space="preserve">) </w:t>
      </w:r>
      <w:r w:rsidR="00D25369" w:rsidRPr="00D25369">
        <w:rPr>
          <w:lang w:val="en"/>
        </w:rPr>
        <w:t>dated May 18, 2026</w:t>
      </w:r>
    </w:p>
    <w:p w14:paraId="6630B3CE" w14:textId="3EACAE71" w:rsidR="00E54794" w:rsidRPr="00D25369" w:rsidRDefault="00E54794" w:rsidP="00E54794">
      <w:pPr>
        <w:ind w:firstLine="709"/>
        <w:jc w:val="right"/>
        <w:rPr>
          <w:lang w:val="en-US"/>
        </w:rPr>
      </w:pPr>
    </w:p>
    <w:p w14:paraId="756EE489" w14:textId="77777777" w:rsidR="00990134" w:rsidRPr="00D25369" w:rsidRDefault="00990134" w:rsidP="00990134">
      <w:pPr>
        <w:jc w:val="right"/>
        <w:rPr>
          <w:rFonts w:eastAsiaTheme="minorHAnsi"/>
          <w:lang w:val="en-US"/>
        </w:rPr>
      </w:pPr>
    </w:p>
    <w:p w14:paraId="3A4261E4" w14:textId="77777777" w:rsidR="00B81206" w:rsidRPr="00D25369" w:rsidRDefault="00E15939" w:rsidP="00D06CA4">
      <w:pPr>
        <w:pStyle w:val="affb"/>
        <w:tabs>
          <w:tab w:val="left" w:pos="4290"/>
        </w:tabs>
        <w:rPr>
          <w:lang w:val="en-US"/>
        </w:rPr>
      </w:pPr>
      <w:r w:rsidRPr="00D25369">
        <w:rPr>
          <w:lang w:val="en-US"/>
        </w:rPr>
        <w:tab/>
      </w:r>
    </w:p>
    <w:p w14:paraId="1FB24710" w14:textId="77777777" w:rsidR="00B81206" w:rsidRPr="00D25369" w:rsidRDefault="00B81206" w:rsidP="00261413">
      <w:pPr>
        <w:pStyle w:val="affb"/>
        <w:rPr>
          <w:lang w:val="en-US"/>
        </w:rPr>
      </w:pPr>
    </w:p>
    <w:p w14:paraId="155D057C" w14:textId="77777777" w:rsidR="00261413" w:rsidRPr="00D25369" w:rsidRDefault="00261413" w:rsidP="00261413">
      <w:pPr>
        <w:pStyle w:val="affb"/>
        <w:rPr>
          <w:lang w:val="en-US"/>
        </w:rPr>
      </w:pPr>
    </w:p>
    <w:p w14:paraId="2CA82344" w14:textId="77777777" w:rsidR="00261413" w:rsidRPr="00D25369" w:rsidRDefault="00261413" w:rsidP="00261413">
      <w:pPr>
        <w:pStyle w:val="affb"/>
        <w:rPr>
          <w:lang w:val="en-US"/>
        </w:rPr>
      </w:pPr>
    </w:p>
    <w:p w14:paraId="495DAA8A" w14:textId="77777777" w:rsidR="00261413" w:rsidRPr="00D25369" w:rsidRDefault="00261413" w:rsidP="00261413">
      <w:pPr>
        <w:pStyle w:val="affb"/>
        <w:rPr>
          <w:lang w:val="en-US"/>
        </w:rPr>
      </w:pPr>
    </w:p>
    <w:p w14:paraId="29644ADF" w14:textId="77777777" w:rsidR="00261413" w:rsidRPr="00D25369" w:rsidRDefault="00261413" w:rsidP="00261413">
      <w:pPr>
        <w:pStyle w:val="affb"/>
        <w:rPr>
          <w:lang w:val="en-US"/>
        </w:rPr>
      </w:pPr>
    </w:p>
    <w:p w14:paraId="07992595" w14:textId="77777777" w:rsidR="00261413" w:rsidRPr="00D25369" w:rsidRDefault="00261413" w:rsidP="00261413">
      <w:pPr>
        <w:pStyle w:val="aa"/>
        <w:tabs>
          <w:tab w:val="center" w:pos="4040"/>
          <w:tab w:val="left" w:pos="7344"/>
        </w:tabs>
        <w:spacing w:after="120" w:line="240" w:lineRule="auto"/>
        <w:ind w:left="0" w:hanging="1276"/>
        <w:rPr>
          <w:rFonts w:ascii="Times New Roman" w:hAnsi="Times New Roman" w:cs="Times New Roman"/>
          <w:b/>
          <w:sz w:val="24"/>
          <w:szCs w:val="24"/>
          <w:lang w:val="en-US"/>
        </w:rPr>
      </w:pPr>
    </w:p>
    <w:p w14:paraId="19436D12" w14:textId="77777777" w:rsidR="007B7DEB" w:rsidRPr="00D25369" w:rsidRDefault="007B7DEB" w:rsidP="004951F5">
      <w:pPr>
        <w:pStyle w:val="29"/>
        <w:rPr>
          <w:sz w:val="24"/>
          <w:szCs w:val="24"/>
          <w:lang w:val="en-US"/>
        </w:rPr>
      </w:pPr>
    </w:p>
    <w:p w14:paraId="4ABBF7E5" w14:textId="77777777" w:rsidR="007B7DEB" w:rsidRPr="00B235C4" w:rsidRDefault="00E15939" w:rsidP="004951F5">
      <w:pPr>
        <w:pStyle w:val="29"/>
        <w:rPr>
          <w:sz w:val="24"/>
          <w:szCs w:val="24"/>
        </w:rPr>
      </w:pPr>
      <w:r w:rsidRPr="00B235C4">
        <w:rPr>
          <w:noProof/>
          <w:sz w:val="24"/>
          <w:szCs w:val="24"/>
          <w:lang w:val="ru-RU" w:eastAsia="ru-RU"/>
        </w:rPr>
        <mc:AlternateContent>
          <mc:Choice Requires="wps">
            <w:drawing>
              <wp:anchor distT="0" distB="0" distL="114300" distR="114300" simplePos="0" relativeHeight="251659264" behindDoc="0" locked="0" layoutInCell="1" allowOverlap="1" wp14:anchorId="43E672BC" wp14:editId="7ACC6F4F">
                <wp:simplePos x="0" y="0"/>
                <wp:positionH relativeFrom="margin">
                  <wp:posOffset>875665</wp:posOffset>
                </wp:positionH>
                <wp:positionV relativeFrom="paragraph">
                  <wp:posOffset>113030</wp:posOffset>
                </wp:positionV>
                <wp:extent cx="4091940" cy="1657350"/>
                <wp:effectExtent l="0" t="0" r="0" b="0"/>
                <wp:wrapNone/>
                <wp:docPr id="90"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194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748AD" w14:textId="77777777" w:rsidR="004955E6" w:rsidRPr="002C5554" w:rsidRDefault="00E15939" w:rsidP="007B7DEB">
                            <w:pPr>
                              <w:jc w:val="center"/>
                              <w:rPr>
                                <w:b/>
                                <w:caps/>
                                <w:sz w:val="32"/>
                                <w:szCs w:val="36"/>
                                <w:lang w:val="en-US"/>
                              </w:rPr>
                            </w:pPr>
                            <w:r w:rsidRPr="00B20AA5">
                              <w:rPr>
                                <w:b/>
                                <w:caps/>
                                <w:sz w:val="32"/>
                                <w:szCs w:val="36"/>
                                <w:lang w:val="en"/>
                              </w:rPr>
                              <w:t>Information about accepted risks, risk and capital management procedures</w:t>
                            </w:r>
                          </w:p>
                          <w:p w14:paraId="658BDF8D" w14:textId="77777777" w:rsidR="004955E6" w:rsidRPr="002C5554" w:rsidRDefault="00E15939" w:rsidP="007B7DEB">
                            <w:pPr>
                              <w:jc w:val="center"/>
                              <w:rPr>
                                <w:b/>
                                <w:caps/>
                                <w:sz w:val="32"/>
                                <w:szCs w:val="36"/>
                                <w:lang w:val="en-US"/>
                              </w:rPr>
                            </w:pPr>
                            <w:r w:rsidRPr="006C2618">
                              <w:rPr>
                                <w:b/>
                                <w:caps/>
                                <w:sz w:val="32"/>
                                <w:szCs w:val="36"/>
                                <w:lang w:val="en"/>
                              </w:rPr>
                              <w:t xml:space="preserve">of OTBASY BANK JSC </w:t>
                            </w:r>
                          </w:p>
                          <w:p w14:paraId="420C01BC" w14:textId="77777777" w:rsidR="004955E6" w:rsidRPr="002C5554" w:rsidRDefault="00E15939" w:rsidP="007B7DEB">
                            <w:pPr>
                              <w:jc w:val="center"/>
                              <w:rPr>
                                <w:b/>
                                <w:caps/>
                                <w:sz w:val="32"/>
                                <w:szCs w:val="36"/>
                                <w:lang w:val="en-US"/>
                              </w:rPr>
                            </w:pPr>
                            <w:r>
                              <w:rPr>
                                <w:b/>
                                <w:caps/>
                                <w:sz w:val="32"/>
                                <w:szCs w:val="36"/>
                                <w:lang w:val="en"/>
                              </w:rPr>
                              <w:t>for 2025</w:t>
                            </w:r>
                          </w:p>
                          <w:p w14:paraId="61AB5725" w14:textId="77777777" w:rsidR="004955E6" w:rsidRPr="002C5554" w:rsidRDefault="004955E6" w:rsidP="007B7DEB">
                            <w:pPr>
                              <w:jc w:val="center"/>
                              <w:rPr>
                                <w:b/>
                                <w:lang w:val="en-US"/>
                              </w:rPr>
                            </w:pPr>
                          </w:p>
                          <w:p w14:paraId="053B1C15" w14:textId="77777777" w:rsidR="004955E6" w:rsidRPr="002C5554" w:rsidRDefault="004955E6" w:rsidP="007B7DEB">
                            <w:pPr>
                              <w:jc w:val="center"/>
                              <w:rPr>
                                <w:b/>
                                <w:lang w:val="en-US"/>
                              </w:rPr>
                            </w:pPr>
                          </w:p>
                          <w:p w14:paraId="47B10BD9" w14:textId="77777777" w:rsidR="004955E6" w:rsidRPr="002C5554" w:rsidRDefault="004955E6" w:rsidP="007B7DEB">
                            <w:pPr>
                              <w:jc w:val="center"/>
                              <w:rPr>
                                <w:b/>
                                <w:lang w:val="en-US"/>
                              </w:rPr>
                            </w:pPr>
                          </w:p>
                          <w:p w14:paraId="6E2062D7" w14:textId="77777777" w:rsidR="004955E6" w:rsidRPr="002C5554" w:rsidRDefault="004955E6" w:rsidP="007B7DEB">
                            <w:pPr>
                              <w:rPr>
                                <w:sz w:val="20"/>
                                <w:lang w:val="en-US"/>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43E672BC" id="Прямоугольник 29" o:spid="_x0000_s1026" style="position:absolute;left:0;text-align:left;margin-left:68.95pt;margin-top:8.9pt;width:322.2pt;height:1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" filled="f" stroked="f">
                <v:textbox>
                  <w:txbxContent>
                    <w:p w14:paraId="2E5748AD" w14:textId="77777777" w:rsidR="004955E6" w:rsidRPr="002C5554" w:rsidRDefault="00E15939" w:rsidP="007B7DEB">
                      <w:pPr>
                        <w:jc w:val="center"/>
                        <w:rPr>
                          <w:b/>
                          <w:caps/>
                          <w:sz w:val="32"/>
                          <w:szCs w:val="36"/>
                          <w:lang w:val="en-US"/>
                        </w:rPr>
                      </w:pPr>
                      <w:r w:rsidRPr="00B20AA5">
                        <w:rPr>
                          <w:b/>
                          <w:caps/>
                          <w:sz w:val="32"/>
                          <w:szCs w:val="36"/>
                          <w:lang w:val="en"/>
                        </w:rPr>
                        <w:t>Information about accepted risks, risk and capital management procedures</w:t>
                      </w:r>
                    </w:p>
                    <w:p w14:paraId="658BDF8D" w14:textId="77777777" w:rsidR="004955E6" w:rsidRPr="002C5554" w:rsidRDefault="00E15939" w:rsidP="007B7DEB">
                      <w:pPr>
                        <w:jc w:val="center"/>
                        <w:rPr>
                          <w:b/>
                          <w:caps/>
                          <w:sz w:val="32"/>
                          <w:szCs w:val="36"/>
                          <w:lang w:val="en-US"/>
                        </w:rPr>
                      </w:pPr>
                      <w:r w:rsidRPr="006C2618">
                        <w:rPr>
                          <w:b/>
                          <w:caps/>
                          <w:sz w:val="32"/>
                          <w:szCs w:val="36"/>
                          <w:lang w:val="en"/>
                        </w:rPr>
                        <w:t xml:space="preserve">of OTBASY BANK JSC </w:t>
                      </w:r>
                    </w:p>
                    <w:p w14:paraId="420C01BC" w14:textId="77777777" w:rsidR="004955E6" w:rsidRPr="002C5554" w:rsidRDefault="00E15939" w:rsidP="007B7DEB">
                      <w:pPr>
                        <w:jc w:val="center"/>
                        <w:rPr>
                          <w:b/>
                          <w:caps/>
                          <w:sz w:val="32"/>
                          <w:szCs w:val="36"/>
                          <w:lang w:val="en-US"/>
                        </w:rPr>
                      </w:pPr>
                      <w:r>
                        <w:rPr>
                          <w:b/>
                          <w:caps/>
                          <w:sz w:val="32"/>
                          <w:szCs w:val="36"/>
                          <w:lang w:val="en"/>
                        </w:rPr>
                        <w:t>for 2025</w:t>
                      </w:r>
                    </w:p>
                    <w:p w14:paraId="61AB5725" w14:textId="77777777" w:rsidR="004955E6" w:rsidRPr="002C5554" w:rsidRDefault="004955E6" w:rsidP="007B7DEB">
                      <w:pPr>
                        <w:jc w:val="center"/>
                        <w:rPr>
                          <w:b/>
                          <w:lang w:val="en-US"/>
                        </w:rPr>
                      </w:pPr>
                    </w:p>
                    <w:p w14:paraId="053B1C15" w14:textId="77777777" w:rsidR="004955E6" w:rsidRPr="002C5554" w:rsidRDefault="004955E6" w:rsidP="007B7DEB">
                      <w:pPr>
                        <w:jc w:val="center"/>
                        <w:rPr>
                          <w:b/>
                          <w:lang w:val="en-US"/>
                        </w:rPr>
                      </w:pPr>
                    </w:p>
                    <w:p w14:paraId="47B10BD9" w14:textId="77777777" w:rsidR="004955E6" w:rsidRPr="002C5554" w:rsidRDefault="004955E6" w:rsidP="007B7DEB">
                      <w:pPr>
                        <w:jc w:val="center"/>
                        <w:rPr>
                          <w:b/>
                          <w:lang w:val="en-US"/>
                        </w:rPr>
                      </w:pPr>
                    </w:p>
                    <w:p w14:paraId="6E2062D7" w14:textId="77777777" w:rsidR="004955E6" w:rsidRPr="002C5554" w:rsidRDefault="004955E6" w:rsidP="007B7DEB">
                      <w:pPr>
                        <w:rPr>
                          <w:sz w:val="20"/>
                          <w:lang w:val="en-US"/>
                        </w:rPr>
                      </w:pPr>
                    </w:p>
                  </w:txbxContent>
                </v:textbox>
                <w10:wrap anchorx="margin"/>
              </v:rect>
            </w:pict>
          </mc:Fallback>
        </mc:AlternateContent>
      </w:r>
    </w:p>
    <w:p w14:paraId="2821FA6A" w14:textId="77777777" w:rsidR="007B7DEB" w:rsidRPr="00B235C4" w:rsidRDefault="007B7DEB" w:rsidP="004951F5">
      <w:pPr>
        <w:pStyle w:val="29"/>
        <w:rPr>
          <w:sz w:val="24"/>
          <w:szCs w:val="24"/>
        </w:rPr>
      </w:pPr>
    </w:p>
    <w:p w14:paraId="3A906F67" w14:textId="77777777" w:rsidR="007B7DEB" w:rsidRPr="00B235C4" w:rsidRDefault="007B7DEB" w:rsidP="004951F5">
      <w:pPr>
        <w:pStyle w:val="29"/>
        <w:rPr>
          <w:sz w:val="24"/>
          <w:szCs w:val="24"/>
        </w:rPr>
      </w:pPr>
    </w:p>
    <w:p w14:paraId="520E936A" w14:textId="77777777" w:rsidR="007B7DEB" w:rsidRPr="00B235C4" w:rsidRDefault="007B7DEB" w:rsidP="004951F5">
      <w:pPr>
        <w:pStyle w:val="29"/>
        <w:rPr>
          <w:sz w:val="24"/>
          <w:szCs w:val="24"/>
        </w:rPr>
      </w:pPr>
    </w:p>
    <w:p w14:paraId="143A30E9" w14:textId="77777777" w:rsidR="007B7DEB" w:rsidRPr="00B235C4" w:rsidRDefault="007B7DEB" w:rsidP="00D40AF8">
      <w:pPr>
        <w:pStyle w:val="29"/>
        <w:jc w:val="right"/>
        <w:rPr>
          <w:sz w:val="24"/>
          <w:szCs w:val="24"/>
        </w:rPr>
      </w:pPr>
    </w:p>
    <w:p w14:paraId="17732799" w14:textId="77777777" w:rsidR="007B7DEB" w:rsidRPr="00B235C4" w:rsidRDefault="007B7DEB" w:rsidP="004951F5">
      <w:pPr>
        <w:pStyle w:val="29"/>
        <w:rPr>
          <w:sz w:val="24"/>
          <w:szCs w:val="24"/>
        </w:rPr>
      </w:pPr>
    </w:p>
    <w:p w14:paraId="37C2E0F7" w14:textId="77777777" w:rsidR="007B7DEB" w:rsidRPr="00B235C4" w:rsidRDefault="007B7DEB" w:rsidP="004951F5">
      <w:pPr>
        <w:pStyle w:val="29"/>
        <w:rPr>
          <w:sz w:val="24"/>
          <w:szCs w:val="24"/>
        </w:rPr>
      </w:pPr>
    </w:p>
    <w:p w14:paraId="4A3D290A" w14:textId="77777777" w:rsidR="007B7DEB" w:rsidRPr="00B235C4" w:rsidRDefault="007B7DEB" w:rsidP="004951F5">
      <w:pPr>
        <w:pStyle w:val="29"/>
        <w:rPr>
          <w:sz w:val="24"/>
          <w:szCs w:val="24"/>
        </w:rPr>
      </w:pPr>
    </w:p>
    <w:p w14:paraId="275C3F26" w14:textId="77777777" w:rsidR="00D45285" w:rsidRPr="00B235C4" w:rsidRDefault="00D45285" w:rsidP="00D45285">
      <w:pPr>
        <w:rPr>
          <w:lang w:val="kk-KZ"/>
        </w:rPr>
      </w:pPr>
    </w:p>
    <w:p w14:paraId="18EF5878" w14:textId="77777777" w:rsidR="00D45285" w:rsidRPr="00B235C4" w:rsidRDefault="00D45285" w:rsidP="00D45285">
      <w:pPr>
        <w:rPr>
          <w:lang w:val="kk-KZ"/>
        </w:rPr>
      </w:pPr>
    </w:p>
    <w:p w14:paraId="3121A7E5" w14:textId="77777777" w:rsidR="007B7DEB" w:rsidRPr="00B235C4" w:rsidRDefault="007B7DEB" w:rsidP="004951F5">
      <w:pPr>
        <w:pStyle w:val="29"/>
        <w:rPr>
          <w:sz w:val="24"/>
          <w:szCs w:val="24"/>
        </w:rPr>
      </w:pPr>
    </w:p>
    <w:p w14:paraId="7332CDC9" w14:textId="77777777" w:rsidR="007B7DEB" w:rsidRPr="00B235C4" w:rsidRDefault="007B7DEB" w:rsidP="004951F5">
      <w:pPr>
        <w:pStyle w:val="29"/>
        <w:rPr>
          <w:sz w:val="24"/>
          <w:szCs w:val="24"/>
        </w:rPr>
      </w:pPr>
    </w:p>
    <w:p w14:paraId="7F0D90CD" w14:textId="77777777" w:rsidR="007B7DEB" w:rsidRPr="00B235C4" w:rsidRDefault="007B7DEB" w:rsidP="004951F5">
      <w:pPr>
        <w:pStyle w:val="29"/>
        <w:rPr>
          <w:sz w:val="24"/>
          <w:szCs w:val="24"/>
        </w:rPr>
      </w:pPr>
    </w:p>
    <w:p w14:paraId="4679012F" w14:textId="77777777" w:rsidR="007B7DEB" w:rsidRPr="00B235C4" w:rsidRDefault="007B7DEB" w:rsidP="004951F5">
      <w:pPr>
        <w:pStyle w:val="29"/>
        <w:rPr>
          <w:sz w:val="24"/>
          <w:szCs w:val="24"/>
        </w:rPr>
      </w:pPr>
    </w:p>
    <w:p w14:paraId="2B2F3387" w14:textId="77777777" w:rsidR="007B7DEB" w:rsidRPr="00B235C4" w:rsidRDefault="007B7DEB" w:rsidP="004951F5">
      <w:pPr>
        <w:pStyle w:val="29"/>
        <w:rPr>
          <w:sz w:val="24"/>
          <w:szCs w:val="24"/>
        </w:rPr>
      </w:pPr>
    </w:p>
    <w:p w14:paraId="4CD89882" w14:textId="77777777" w:rsidR="007B7DEB" w:rsidRPr="00B235C4" w:rsidRDefault="007B7DEB" w:rsidP="004951F5">
      <w:pPr>
        <w:pStyle w:val="29"/>
        <w:rPr>
          <w:sz w:val="24"/>
          <w:szCs w:val="24"/>
        </w:rPr>
      </w:pPr>
    </w:p>
    <w:p w14:paraId="2C5FA498" w14:textId="77777777" w:rsidR="007B7DEB" w:rsidRPr="00B235C4" w:rsidRDefault="007B7DEB" w:rsidP="004951F5">
      <w:pPr>
        <w:pStyle w:val="29"/>
        <w:rPr>
          <w:sz w:val="24"/>
          <w:szCs w:val="24"/>
        </w:rPr>
      </w:pPr>
    </w:p>
    <w:p w14:paraId="6C3A2E3D" w14:textId="77777777" w:rsidR="007B7DEB" w:rsidRPr="00B235C4" w:rsidRDefault="007B7DEB" w:rsidP="004951F5">
      <w:pPr>
        <w:pStyle w:val="29"/>
        <w:rPr>
          <w:sz w:val="24"/>
          <w:szCs w:val="24"/>
        </w:rPr>
      </w:pPr>
    </w:p>
    <w:p w14:paraId="0F0CBDE5" w14:textId="77777777" w:rsidR="007B7DEB" w:rsidRPr="00B235C4" w:rsidRDefault="007B7DEB" w:rsidP="004951F5">
      <w:pPr>
        <w:pStyle w:val="29"/>
        <w:rPr>
          <w:sz w:val="24"/>
          <w:szCs w:val="24"/>
        </w:rPr>
      </w:pPr>
    </w:p>
    <w:p w14:paraId="76DDA4AC" w14:textId="77777777" w:rsidR="007B7DEB" w:rsidRPr="00B235C4" w:rsidRDefault="007B7DEB" w:rsidP="004951F5">
      <w:pPr>
        <w:pStyle w:val="29"/>
        <w:rPr>
          <w:sz w:val="24"/>
          <w:szCs w:val="24"/>
        </w:rPr>
      </w:pPr>
    </w:p>
    <w:p w14:paraId="30035A50" w14:textId="77777777" w:rsidR="005A7E8A" w:rsidRPr="00B235C4" w:rsidRDefault="005A7E8A" w:rsidP="004951F5">
      <w:pPr>
        <w:pStyle w:val="29"/>
        <w:rPr>
          <w:sz w:val="24"/>
          <w:szCs w:val="24"/>
        </w:rPr>
      </w:pPr>
    </w:p>
    <w:p w14:paraId="0BAC8469" w14:textId="77777777" w:rsidR="005A7E8A" w:rsidRDefault="005A7E8A" w:rsidP="004951F5">
      <w:pPr>
        <w:pStyle w:val="29"/>
        <w:rPr>
          <w:sz w:val="24"/>
          <w:szCs w:val="24"/>
        </w:rPr>
      </w:pPr>
    </w:p>
    <w:p w14:paraId="74605F59" w14:textId="77777777" w:rsidR="00B20AA5" w:rsidRDefault="00B20AA5" w:rsidP="00B20AA5">
      <w:pPr>
        <w:rPr>
          <w:lang w:val="kk-KZ"/>
        </w:rPr>
      </w:pPr>
    </w:p>
    <w:p w14:paraId="3036C3CE" w14:textId="77777777" w:rsidR="00B20AA5" w:rsidRDefault="00B20AA5" w:rsidP="00B20AA5">
      <w:pPr>
        <w:rPr>
          <w:lang w:val="kk-KZ"/>
        </w:rPr>
      </w:pPr>
    </w:p>
    <w:p w14:paraId="40029405" w14:textId="77777777" w:rsidR="00B20AA5" w:rsidRDefault="00B20AA5" w:rsidP="00B20AA5">
      <w:pPr>
        <w:rPr>
          <w:lang w:val="kk-KZ"/>
        </w:rPr>
      </w:pPr>
    </w:p>
    <w:p w14:paraId="3DF56A05" w14:textId="77777777" w:rsidR="00B20AA5" w:rsidRDefault="00B20AA5" w:rsidP="00B20AA5">
      <w:pPr>
        <w:rPr>
          <w:lang w:val="kk-KZ"/>
        </w:rPr>
      </w:pPr>
    </w:p>
    <w:p w14:paraId="0AF1125E" w14:textId="77777777" w:rsidR="00B20AA5" w:rsidRDefault="00B20AA5" w:rsidP="00B20AA5">
      <w:pPr>
        <w:rPr>
          <w:lang w:val="kk-KZ"/>
        </w:rPr>
      </w:pPr>
    </w:p>
    <w:p w14:paraId="5D5A5DBD" w14:textId="77777777" w:rsidR="00B20AA5" w:rsidRDefault="00B20AA5" w:rsidP="00B20AA5">
      <w:pPr>
        <w:rPr>
          <w:lang w:val="kk-KZ"/>
        </w:rPr>
      </w:pPr>
    </w:p>
    <w:p w14:paraId="6ECB0156" w14:textId="77777777" w:rsidR="00B20AA5" w:rsidRPr="00B20AA5" w:rsidRDefault="00B20AA5" w:rsidP="00B20AA5">
      <w:pPr>
        <w:rPr>
          <w:lang w:val="kk-KZ"/>
        </w:rPr>
      </w:pPr>
    </w:p>
    <w:p w14:paraId="7CFF2CBC" w14:textId="77777777" w:rsidR="00B20AA5" w:rsidRPr="00D25369" w:rsidRDefault="00E15939" w:rsidP="004951F5">
      <w:pPr>
        <w:pStyle w:val="29"/>
        <w:rPr>
          <w:sz w:val="24"/>
          <w:szCs w:val="24"/>
          <w:lang w:val="en-US"/>
        </w:rPr>
      </w:pPr>
      <w:r w:rsidRPr="00B235C4">
        <w:rPr>
          <w:sz w:val="24"/>
          <w:szCs w:val="24"/>
          <w:lang w:val="en"/>
        </w:rPr>
        <w:t>Almaty, 2026</w:t>
      </w:r>
    </w:p>
    <w:p w14:paraId="64642919" w14:textId="77777777" w:rsidR="00B20AA5" w:rsidRPr="00D25369" w:rsidRDefault="00E15939">
      <w:pPr>
        <w:spacing w:line="259" w:lineRule="auto"/>
        <w:rPr>
          <w:b/>
          <w:bCs/>
          <w:lang w:val="en-US"/>
        </w:rPr>
      </w:pPr>
      <w:r w:rsidRPr="00D25369">
        <w:rPr>
          <w:lang w:val="en-US"/>
        </w:rPr>
        <w:lastRenderedPageBreak/>
        <w:br w:type="page"/>
      </w:r>
    </w:p>
    <w:p w14:paraId="71898736" w14:textId="77777777" w:rsidR="007B7DEB" w:rsidRPr="00D25369" w:rsidRDefault="007B7DEB" w:rsidP="004951F5">
      <w:pPr>
        <w:pStyle w:val="29"/>
        <w:rPr>
          <w:sz w:val="24"/>
          <w:szCs w:val="24"/>
          <w:lang w:val="en-US"/>
        </w:rPr>
      </w:pPr>
    </w:p>
    <w:p w14:paraId="4415085F" w14:textId="77777777" w:rsidR="00B17703" w:rsidRPr="00B235C4" w:rsidRDefault="00B17703" w:rsidP="00B17703">
      <w:pPr>
        <w:rPr>
          <w:lang w:val="kk-KZ"/>
        </w:rPr>
      </w:pPr>
    </w:p>
    <w:sdt>
      <w:sdtPr>
        <w:rPr>
          <w:rFonts w:ascii="Times New Roman" w:eastAsia="Times New Roman" w:hAnsi="Times New Roman"/>
          <w:b w:val="0"/>
          <w:bCs w:val="0"/>
          <w:color w:val="auto"/>
          <w:sz w:val="24"/>
          <w:szCs w:val="24"/>
          <w:lang w:val="ru-RU" w:eastAsia="en-US"/>
        </w:rPr>
        <w:id w:val="462631072"/>
        <w:docPartObj>
          <w:docPartGallery w:val="Table of Contents"/>
          <w:docPartUnique/>
        </w:docPartObj>
      </w:sdtPr>
      <w:sdtEndPr>
        <w:rPr>
          <w:noProof/>
        </w:rPr>
      </w:sdtEndPr>
      <w:sdtContent>
        <w:p w14:paraId="75EEF1C3" w14:textId="77777777" w:rsidR="000873C2" w:rsidRPr="00D25369" w:rsidRDefault="00E15939" w:rsidP="00B17703">
          <w:pPr>
            <w:pStyle w:val="afffc"/>
            <w:spacing w:before="0" w:line="240" w:lineRule="auto"/>
            <w:rPr>
              <w:rFonts w:ascii="Times New Roman" w:hAnsi="Times New Roman"/>
              <w:b w:val="0"/>
              <w:color w:val="auto"/>
              <w:sz w:val="24"/>
              <w:szCs w:val="24"/>
            </w:rPr>
          </w:pPr>
          <w:r w:rsidRPr="000C1651">
            <w:rPr>
              <w:rFonts w:ascii="Times New Roman" w:hAnsi="Times New Roman"/>
              <w:b w:val="0"/>
              <w:color w:val="auto"/>
              <w:sz w:val="24"/>
              <w:szCs w:val="24"/>
              <w:lang w:val="en"/>
            </w:rPr>
            <w:t>Contents</w:t>
          </w:r>
        </w:p>
        <w:p w14:paraId="6ABDAA17" w14:textId="77777777" w:rsidR="00742452" w:rsidRPr="002C5554" w:rsidRDefault="00E15939">
          <w:pPr>
            <w:pStyle w:val="36"/>
            <w:tabs>
              <w:tab w:val="right" w:leader="dot" w:pos="9487"/>
            </w:tabs>
            <w:rPr>
              <w:rFonts w:ascii="Times New Roman" w:hAnsi="Times New Roman"/>
              <w:noProof/>
              <w:sz w:val="24"/>
              <w:szCs w:val="24"/>
            </w:rPr>
          </w:pPr>
          <w:r w:rsidRPr="002C5554">
            <w:rPr>
              <w:rFonts w:ascii="Times New Roman" w:hAnsi="Times New Roman"/>
              <w:sz w:val="24"/>
              <w:szCs w:val="24"/>
            </w:rPr>
            <w:fldChar w:fldCharType="begin"/>
          </w:r>
          <w:r w:rsidRPr="002C5554">
            <w:rPr>
              <w:rFonts w:ascii="Times New Roman" w:hAnsi="Times New Roman"/>
              <w:sz w:val="24"/>
              <w:szCs w:val="24"/>
            </w:rPr>
            <w:instrText xml:space="preserve"> TOC \o "1-4" \h \z \u </w:instrText>
          </w:r>
          <w:r w:rsidRPr="002C5554">
            <w:rPr>
              <w:rFonts w:ascii="Times New Roman" w:hAnsi="Times New Roman"/>
              <w:sz w:val="24"/>
              <w:szCs w:val="24"/>
            </w:rPr>
            <w:fldChar w:fldCharType="separate"/>
          </w:r>
          <w:hyperlink w:anchor="_Toc256000000" w:history="1">
            <w:r w:rsidRPr="002C5554">
              <w:rPr>
                <w:rStyle w:val="af6"/>
                <w:rFonts w:ascii="Times New Roman" w:hAnsi="Times New Roman"/>
                <w:sz w:val="24"/>
                <w:szCs w:val="24"/>
                <w:lang w:val="en"/>
              </w:rPr>
              <w:t>1. Brief information about the main activities of the Bank</w:t>
            </w:r>
            <w:r w:rsidRPr="002C5554">
              <w:rPr>
                <w:rFonts w:ascii="Times New Roman" w:hAnsi="Times New Roman"/>
                <w:sz w:val="24"/>
                <w:szCs w:val="24"/>
              </w:rPr>
              <w:tab/>
            </w:r>
            <w:r w:rsidRPr="002C5554">
              <w:rPr>
                <w:rFonts w:ascii="Times New Roman" w:hAnsi="Times New Roman"/>
                <w:sz w:val="24"/>
                <w:szCs w:val="24"/>
              </w:rPr>
              <w:fldChar w:fldCharType="begin"/>
            </w:r>
            <w:r w:rsidRPr="002C5554">
              <w:rPr>
                <w:rFonts w:ascii="Times New Roman" w:hAnsi="Times New Roman"/>
                <w:sz w:val="24"/>
                <w:szCs w:val="24"/>
              </w:rPr>
              <w:instrText xml:space="preserve"> PAGEREF _Toc256000000 \h </w:instrText>
            </w:r>
            <w:r w:rsidRPr="002C5554">
              <w:rPr>
                <w:rFonts w:ascii="Times New Roman" w:hAnsi="Times New Roman"/>
                <w:sz w:val="24"/>
                <w:szCs w:val="24"/>
              </w:rPr>
            </w:r>
            <w:r w:rsidRPr="002C5554">
              <w:rPr>
                <w:rFonts w:ascii="Times New Roman" w:hAnsi="Times New Roman"/>
                <w:sz w:val="24"/>
                <w:szCs w:val="24"/>
              </w:rPr>
              <w:fldChar w:fldCharType="separate"/>
            </w:r>
            <w:r w:rsidRPr="002C5554">
              <w:rPr>
                <w:rFonts w:ascii="Times New Roman" w:hAnsi="Times New Roman"/>
                <w:sz w:val="24"/>
                <w:szCs w:val="24"/>
              </w:rPr>
              <w:t>4</w:t>
            </w:r>
            <w:r w:rsidRPr="002C5554">
              <w:rPr>
                <w:rFonts w:ascii="Times New Roman" w:hAnsi="Times New Roman"/>
                <w:sz w:val="24"/>
                <w:szCs w:val="24"/>
              </w:rPr>
              <w:fldChar w:fldCharType="end"/>
            </w:r>
          </w:hyperlink>
        </w:p>
        <w:p w14:paraId="0933360F" w14:textId="77777777" w:rsidR="00742452" w:rsidRPr="002C5554" w:rsidRDefault="00E15939">
          <w:pPr>
            <w:pStyle w:val="36"/>
            <w:tabs>
              <w:tab w:val="right" w:leader="dot" w:pos="9487"/>
            </w:tabs>
            <w:rPr>
              <w:rFonts w:ascii="Times New Roman" w:hAnsi="Times New Roman"/>
              <w:noProof/>
              <w:sz w:val="24"/>
              <w:szCs w:val="24"/>
            </w:rPr>
          </w:pPr>
          <w:hyperlink w:anchor="_Toc256000001" w:history="1">
            <w:r w:rsidRPr="002C5554">
              <w:rPr>
                <w:rStyle w:val="af6"/>
                <w:rFonts w:ascii="Times New Roman" w:hAnsi="Times New Roman"/>
                <w:sz w:val="24"/>
                <w:szCs w:val="24"/>
                <w:lang w:val="en"/>
              </w:rPr>
              <w:t>2. The procedure for the implementation of the risk management policy by the Board of Directors and the Management Board of the Bank</w:t>
            </w:r>
            <w:r w:rsidRPr="002C5554">
              <w:rPr>
                <w:rFonts w:ascii="Times New Roman" w:hAnsi="Times New Roman"/>
                <w:sz w:val="24"/>
                <w:szCs w:val="24"/>
              </w:rPr>
              <w:tab/>
            </w:r>
            <w:r w:rsidRPr="002C5554">
              <w:rPr>
                <w:rFonts w:ascii="Times New Roman" w:hAnsi="Times New Roman"/>
                <w:sz w:val="24"/>
                <w:szCs w:val="24"/>
              </w:rPr>
              <w:fldChar w:fldCharType="begin"/>
            </w:r>
            <w:r w:rsidRPr="002C5554">
              <w:rPr>
                <w:rFonts w:ascii="Times New Roman" w:hAnsi="Times New Roman"/>
                <w:sz w:val="24"/>
                <w:szCs w:val="24"/>
              </w:rPr>
              <w:instrText xml:space="preserve"> PAGEREF _Toc256000001 \h </w:instrText>
            </w:r>
            <w:r w:rsidRPr="002C5554">
              <w:rPr>
                <w:rFonts w:ascii="Times New Roman" w:hAnsi="Times New Roman"/>
                <w:sz w:val="24"/>
                <w:szCs w:val="24"/>
              </w:rPr>
            </w:r>
            <w:r w:rsidRPr="002C5554">
              <w:rPr>
                <w:rFonts w:ascii="Times New Roman" w:hAnsi="Times New Roman"/>
                <w:sz w:val="24"/>
                <w:szCs w:val="24"/>
              </w:rPr>
              <w:fldChar w:fldCharType="separate"/>
            </w:r>
            <w:r w:rsidRPr="002C5554">
              <w:rPr>
                <w:rFonts w:ascii="Times New Roman" w:hAnsi="Times New Roman"/>
                <w:sz w:val="24"/>
                <w:szCs w:val="24"/>
              </w:rPr>
              <w:t>4</w:t>
            </w:r>
            <w:r w:rsidRPr="002C5554">
              <w:rPr>
                <w:rFonts w:ascii="Times New Roman" w:hAnsi="Times New Roman"/>
                <w:sz w:val="24"/>
                <w:szCs w:val="24"/>
              </w:rPr>
              <w:fldChar w:fldCharType="end"/>
            </w:r>
          </w:hyperlink>
        </w:p>
        <w:p w14:paraId="0CADA10A" w14:textId="77777777" w:rsidR="00742452" w:rsidRPr="002C5554" w:rsidRDefault="00E15939">
          <w:pPr>
            <w:pStyle w:val="36"/>
            <w:tabs>
              <w:tab w:val="right" w:leader="dot" w:pos="9487"/>
            </w:tabs>
            <w:rPr>
              <w:rFonts w:ascii="Times New Roman" w:hAnsi="Times New Roman"/>
              <w:noProof/>
              <w:sz w:val="24"/>
              <w:szCs w:val="24"/>
            </w:rPr>
          </w:pPr>
          <w:hyperlink w:anchor="_Toc256000002" w:history="1">
            <w:r w:rsidRPr="002C5554">
              <w:rPr>
                <w:rStyle w:val="af6"/>
                <w:rFonts w:ascii="Times New Roman" w:hAnsi="Times New Roman"/>
                <w:sz w:val="24"/>
                <w:szCs w:val="24"/>
                <w:lang w:val="en"/>
              </w:rPr>
              <w:t>3. Information about the risks</w:t>
            </w:r>
            <w:r w:rsidR="00223683" w:rsidRPr="002C5554">
              <w:rPr>
                <w:rStyle w:val="af6"/>
                <w:rFonts w:ascii="Times New Roman" w:hAnsi="Times New Roman"/>
                <w:sz w:val="24"/>
                <w:szCs w:val="24"/>
                <w:lang w:val="en"/>
              </w:rPr>
              <w:t xml:space="preserve"> inherent in the Bank's activities, significant risks</w:t>
            </w:r>
            <w:r w:rsidRPr="002C5554">
              <w:rPr>
                <w:rFonts w:ascii="Times New Roman" w:hAnsi="Times New Roman"/>
                <w:sz w:val="24"/>
                <w:szCs w:val="24"/>
              </w:rPr>
              <w:tab/>
            </w:r>
            <w:r w:rsidRPr="002C5554">
              <w:rPr>
                <w:rFonts w:ascii="Times New Roman" w:hAnsi="Times New Roman"/>
                <w:sz w:val="24"/>
                <w:szCs w:val="24"/>
              </w:rPr>
              <w:fldChar w:fldCharType="begin"/>
            </w:r>
            <w:r w:rsidRPr="002C5554">
              <w:rPr>
                <w:rFonts w:ascii="Times New Roman" w:hAnsi="Times New Roman"/>
                <w:sz w:val="24"/>
                <w:szCs w:val="24"/>
              </w:rPr>
              <w:instrText xml:space="preserve"> PAGEREF _Toc256000002 \h </w:instrText>
            </w:r>
            <w:r w:rsidRPr="002C5554">
              <w:rPr>
                <w:rFonts w:ascii="Times New Roman" w:hAnsi="Times New Roman"/>
                <w:sz w:val="24"/>
                <w:szCs w:val="24"/>
              </w:rPr>
            </w:r>
            <w:r w:rsidRPr="002C5554">
              <w:rPr>
                <w:rFonts w:ascii="Times New Roman" w:hAnsi="Times New Roman"/>
                <w:sz w:val="24"/>
                <w:szCs w:val="24"/>
              </w:rPr>
              <w:fldChar w:fldCharType="separate"/>
            </w:r>
            <w:r w:rsidRPr="002C5554">
              <w:rPr>
                <w:rFonts w:ascii="Times New Roman" w:hAnsi="Times New Roman"/>
                <w:sz w:val="24"/>
                <w:szCs w:val="24"/>
              </w:rPr>
              <w:t>7</w:t>
            </w:r>
            <w:r w:rsidRPr="002C5554">
              <w:rPr>
                <w:rFonts w:ascii="Times New Roman" w:hAnsi="Times New Roman"/>
                <w:sz w:val="24"/>
                <w:szCs w:val="24"/>
              </w:rPr>
              <w:fldChar w:fldCharType="end"/>
            </w:r>
          </w:hyperlink>
        </w:p>
        <w:p w14:paraId="7C07A9F6" w14:textId="77777777" w:rsidR="00742452" w:rsidRPr="002C5554" w:rsidRDefault="00E15939">
          <w:pPr>
            <w:pStyle w:val="36"/>
            <w:tabs>
              <w:tab w:val="right" w:leader="dot" w:pos="9487"/>
            </w:tabs>
            <w:rPr>
              <w:rFonts w:ascii="Times New Roman" w:hAnsi="Times New Roman"/>
              <w:noProof/>
              <w:sz w:val="24"/>
              <w:szCs w:val="24"/>
            </w:rPr>
          </w:pPr>
          <w:hyperlink w:anchor="_Toc256000003" w:history="1">
            <w:r w:rsidRPr="002C5554">
              <w:rPr>
                <w:rStyle w:val="af6"/>
                <w:rFonts w:ascii="Times New Roman" w:hAnsi="Times New Roman"/>
                <w:sz w:val="24"/>
                <w:szCs w:val="24"/>
                <w:lang w:val="en"/>
              </w:rPr>
              <w:t>5. The procedure for risk assessment in the framework of capital adequacy assessment</w:t>
            </w:r>
            <w:r w:rsidRPr="002C5554">
              <w:rPr>
                <w:rFonts w:ascii="Times New Roman" w:hAnsi="Times New Roman"/>
                <w:sz w:val="24"/>
                <w:szCs w:val="24"/>
              </w:rPr>
              <w:tab/>
            </w:r>
            <w:r w:rsidRPr="002C5554">
              <w:rPr>
                <w:rFonts w:ascii="Times New Roman" w:hAnsi="Times New Roman"/>
                <w:sz w:val="24"/>
                <w:szCs w:val="24"/>
              </w:rPr>
              <w:fldChar w:fldCharType="begin"/>
            </w:r>
            <w:r w:rsidRPr="002C5554">
              <w:rPr>
                <w:rFonts w:ascii="Times New Roman" w:hAnsi="Times New Roman"/>
                <w:sz w:val="24"/>
                <w:szCs w:val="24"/>
              </w:rPr>
              <w:instrText xml:space="preserve"> PAGEREF _Toc256000003 \h </w:instrText>
            </w:r>
            <w:r w:rsidRPr="002C5554">
              <w:rPr>
                <w:rFonts w:ascii="Times New Roman" w:hAnsi="Times New Roman"/>
                <w:sz w:val="24"/>
                <w:szCs w:val="24"/>
              </w:rPr>
            </w:r>
            <w:r w:rsidRPr="002C5554">
              <w:rPr>
                <w:rFonts w:ascii="Times New Roman" w:hAnsi="Times New Roman"/>
                <w:sz w:val="24"/>
                <w:szCs w:val="24"/>
              </w:rPr>
              <w:fldChar w:fldCharType="separate"/>
            </w:r>
            <w:r w:rsidRPr="002C5554">
              <w:rPr>
                <w:rFonts w:ascii="Times New Roman" w:hAnsi="Times New Roman"/>
                <w:sz w:val="24"/>
                <w:szCs w:val="24"/>
              </w:rPr>
              <w:t>11</w:t>
            </w:r>
            <w:r w:rsidRPr="002C5554">
              <w:rPr>
                <w:rFonts w:ascii="Times New Roman" w:hAnsi="Times New Roman"/>
                <w:sz w:val="24"/>
                <w:szCs w:val="24"/>
              </w:rPr>
              <w:fldChar w:fldCharType="end"/>
            </w:r>
          </w:hyperlink>
        </w:p>
        <w:p w14:paraId="4D103E73" w14:textId="77777777" w:rsidR="00742452" w:rsidRPr="002C5554" w:rsidRDefault="00E15939">
          <w:pPr>
            <w:pStyle w:val="36"/>
            <w:tabs>
              <w:tab w:val="right" w:leader="dot" w:pos="9487"/>
            </w:tabs>
            <w:rPr>
              <w:rFonts w:ascii="Times New Roman" w:hAnsi="Times New Roman"/>
              <w:noProof/>
              <w:sz w:val="24"/>
              <w:szCs w:val="24"/>
            </w:rPr>
          </w:pPr>
          <w:hyperlink w:anchor="_Toc256000004" w:history="1">
            <w:r w:rsidRPr="002C5554">
              <w:rPr>
                <w:rStyle w:val="af6"/>
                <w:rFonts w:ascii="Times New Roman" w:hAnsi="Times New Roman"/>
                <w:sz w:val="24"/>
                <w:szCs w:val="24"/>
                <w:lang w:val="en"/>
              </w:rPr>
              <w:t>6. Information about the Bank's equity</w:t>
            </w:r>
            <w:r w:rsidRPr="002C5554">
              <w:rPr>
                <w:rFonts w:ascii="Times New Roman" w:hAnsi="Times New Roman"/>
                <w:sz w:val="24"/>
                <w:szCs w:val="24"/>
              </w:rPr>
              <w:tab/>
            </w:r>
            <w:r w:rsidRPr="002C5554">
              <w:rPr>
                <w:rFonts w:ascii="Times New Roman" w:hAnsi="Times New Roman"/>
                <w:sz w:val="24"/>
                <w:szCs w:val="24"/>
              </w:rPr>
              <w:fldChar w:fldCharType="begin"/>
            </w:r>
            <w:r w:rsidRPr="002C5554">
              <w:rPr>
                <w:rFonts w:ascii="Times New Roman" w:hAnsi="Times New Roman"/>
                <w:sz w:val="24"/>
                <w:szCs w:val="24"/>
              </w:rPr>
              <w:instrText xml:space="preserve"> PAGEREF _Toc256000004 \h </w:instrText>
            </w:r>
            <w:r w:rsidRPr="002C5554">
              <w:rPr>
                <w:rFonts w:ascii="Times New Roman" w:hAnsi="Times New Roman"/>
                <w:sz w:val="24"/>
                <w:szCs w:val="24"/>
              </w:rPr>
            </w:r>
            <w:r w:rsidRPr="002C5554">
              <w:rPr>
                <w:rFonts w:ascii="Times New Roman" w:hAnsi="Times New Roman"/>
                <w:sz w:val="24"/>
                <w:szCs w:val="24"/>
              </w:rPr>
              <w:fldChar w:fldCharType="separate"/>
            </w:r>
            <w:r w:rsidRPr="002C5554">
              <w:rPr>
                <w:rFonts w:ascii="Times New Roman" w:hAnsi="Times New Roman"/>
                <w:sz w:val="24"/>
                <w:szCs w:val="24"/>
              </w:rPr>
              <w:t>15</w:t>
            </w:r>
            <w:r w:rsidRPr="002C5554">
              <w:rPr>
                <w:rFonts w:ascii="Times New Roman" w:hAnsi="Times New Roman"/>
                <w:sz w:val="24"/>
                <w:szCs w:val="24"/>
              </w:rPr>
              <w:fldChar w:fldCharType="end"/>
            </w:r>
          </w:hyperlink>
        </w:p>
        <w:p w14:paraId="033893D4" w14:textId="77777777" w:rsidR="00742452" w:rsidRPr="002C5554" w:rsidRDefault="00E15939">
          <w:pPr>
            <w:pStyle w:val="36"/>
            <w:tabs>
              <w:tab w:val="right" w:leader="dot" w:pos="9487"/>
            </w:tabs>
            <w:rPr>
              <w:rFonts w:ascii="Times New Roman" w:hAnsi="Times New Roman"/>
              <w:noProof/>
              <w:sz w:val="24"/>
              <w:szCs w:val="24"/>
            </w:rPr>
          </w:pPr>
          <w:hyperlink w:anchor="_Toc256000005" w:history="1">
            <w:r w:rsidRPr="002C5554">
              <w:rPr>
                <w:rStyle w:val="af6"/>
                <w:rFonts w:ascii="Times New Roman" w:hAnsi="Times New Roman"/>
                <w:sz w:val="24"/>
                <w:szCs w:val="24"/>
                <w:lang w:val="en"/>
              </w:rPr>
              <w:t>7. Bank's credit risk management</w:t>
            </w:r>
            <w:r w:rsidRPr="002C5554">
              <w:rPr>
                <w:rFonts w:ascii="Times New Roman" w:hAnsi="Times New Roman"/>
                <w:sz w:val="24"/>
                <w:szCs w:val="24"/>
              </w:rPr>
              <w:tab/>
            </w:r>
            <w:r w:rsidRPr="002C5554">
              <w:rPr>
                <w:rFonts w:ascii="Times New Roman" w:hAnsi="Times New Roman"/>
                <w:sz w:val="24"/>
                <w:szCs w:val="24"/>
              </w:rPr>
              <w:fldChar w:fldCharType="begin"/>
            </w:r>
            <w:r w:rsidRPr="002C5554">
              <w:rPr>
                <w:rFonts w:ascii="Times New Roman" w:hAnsi="Times New Roman"/>
                <w:sz w:val="24"/>
                <w:szCs w:val="24"/>
              </w:rPr>
              <w:instrText xml:space="preserve"> PAGEREF _Toc256000005 \h </w:instrText>
            </w:r>
            <w:r w:rsidRPr="002C5554">
              <w:rPr>
                <w:rFonts w:ascii="Times New Roman" w:hAnsi="Times New Roman"/>
                <w:sz w:val="24"/>
                <w:szCs w:val="24"/>
              </w:rPr>
            </w:r>
            <w:r w:rsidRPr="002C5554">
              <w:rPr>
                <w:rFonts w:ascii="Times New Roman" w:hAnsi="Times New Roman"/>
                <w:sz w:val="24"/>
                <w:szCs w:val="24"/>
              </w:rPr>
              <w:fldChar w:fldCharType="separate"/>
            </w:r>
            <w:r w:rsidRPr="002C5554">
              <w:rPr>
                <w:rFonts w:ascii="Times New Roman" w:hAnsi="Times New Roman"/>
                <w:sz w:val="24"/>
                <w:szCs w:val="24"/>
              </w:rPr>
              <w:t>19</w:t>
            </w:r>
            <w:r w:rsidRPr="002C5554">
              <w:rPr>
                <w:rFonts w:ascii="Times New Roman" w:hAnsi="Times New Roman"/>
                <w:sz w:val="24"/>
                <w:szCs w:val="24"/>
              </w:rPr>
              <w:fldChar w:fldCharType="end"/>
            </w:r>
          </w:hyperlink>
        </w:p>
        <w:p w14:paraId="2C8BDB86" w14:textId="77777777" w:rsidR="00E25FA7" w:rsidRPr="000C1651" w:rsidRDefault="00E15939" w:rsidP="004B348D">
          <w:pPr>
            <w:pStyle w:val="36"/>
            <w:tabs>
              <w:tab w:val="right" w:leader="dot" w:pos="9487"/>
            </w:tabs>
            <w:rPr>
              <w:rFonts w:ascii="Times New Roman" w:hAnsi="Times New Roman"/>
              <w:b/>
              <w:bCs/>
              <w:noProof/>
              <w:sz w:val="24"/>
              <w:szCs w:val="24"/>
            </w:rPr>
          </w:pPr>
          <w:r w:rsidRPr="002C5554">
            <w:rPr>
              <w:rFonts w:ascii="Times New Roman" w:hAnsi="Times New Roman"/>
              <w:sz w:val="24"/>
              <w:szCs w:val="24"/>
            </w:rPr>
            <w:fldChar w:fldCharType="end"/>
          </w:r>
        </w:p>
      </w:sdtContent>
    </w:sdt>
    <w:bookmarkStart w:id="0" w:name="_Toc425690245" w:displacedByCustomXml="prev"/>
    <w:bookmarkStart w:id="1" w:name="_Toc40432012" w:displacedByCustomXml="prev"/>
    <w:bookmarkStart w:id="2" w:name="_Toc425690247" w:displacedByCustomXml="prev"/>
    <w:p w14:paraId="0C715D4E" w14:textId="77777777" w:rsidR="004B348D" w:rsidRPr="00B235C4" w:rsidRDefault="004B348D" w:rsidP="00764000">
      <w:pPr>
        <w:pStyle w:val="Normaltext"/>
        <w:rPr>
          <w:rFonts w:ascii="Times New Roman" w:hAnsi="Times New Roman" w:cs="Times New Roman"/>
        </w:rPr>
      </w:pPr>
    </w:p>
    <w:p w14:paraId="74153799" w14:textId="77777777" w:rsidR="004B348D" w:rsidRPr="00B235C4" w:rsidRDefault="004B348D" w:rsidP="00764000">
      <w:pPr>
        <w:pStyle w:val="Normaltext"/>
        <w:rPr>
          <w:rFonts w:ascii="Times New Roman" w:hAnsi="Times New Roman" w:cs="Times New Roman"/>
        </w:rPr>
      </w:pPr>
    </w:p>
    <w:p w14:paraId="6D02E69C" w14:textId="77777777" w:rsidR="004B348D" w:rsidRPr="00B235C4" w:rsidRDefault="004B348D" w:rsidP="00764000">
      <w:pPr>
        <w:pStyle w:val="Normaltext"/>
        <w:rPr>
          <w:rFonts w:ascii="Times New Roman" w:hAnsi="Times New Roman" w:cs="Times New Roman"/>
        </w:rPr>
      </w:pPr>
    </w:p>
    <w:p w14:paraId="2355DC98" w14:textId="77777777" w:rsidR="004B348D" w:rsidRPr="00B235C4" w:rsidRDefault="004B348D" w:rsidP="00764000">
      <w:pPr>
        <w:pStyle w:val="Normaltext"/>
        <w:rPr>
          <w:rFonts w:ascii="Times New Roman" w:hAnsi="Times New Roman" w:cs="Times New Roman"/>
        </w:rPr>
      </w:pPr>
    </w:p>
    <w:p w14:paraId="2FFC78AE" w14:textId="77777777" w:rsidR="00B20AA5" w:rsidRDefault="00E15939">
      <w:pPr>
        <w:spacing w:line="259" w:lineRule="auto"/>
      </w:pPr>
      <w:r>
        <w:br w:type="page"/>
      </w:r>
    </w:p>
    <w:p w14:paraId="03AE6D4D" w14:textId="77777777" w:rsidR="00B20AA5" w:rsidRPr="00BF29A8" w:rsidRDefault="00E15939">
      <w:pPr>
        <w:spacing w:line="259" w:lineRule="auto"/>
      </w:pPr>
      <w:r w:rsidRPr="00BF29A8">
        <w:rPr>
          <w:lang w:val="en"/>
        </w:rPr>
        <w:lastRenderedPageBreak/>
        <w:t>Glossary:</w:t>
      </w:r>
    </w:p>
    <w:p w14:paraId="55A3DE64" w14:textId="77777777" w:rsidR="00B20AA5" w:rsidRPr="002C5554" w:rsidRDefault="00E15939" w:rsidP="00881954">
      <w:pPr>
        <w:pStyle w:val="aa"/>
        <w:numPr>
          <w:ilvl w:val="0"/>
          <w:numId w:val="33"/>
        </w:numPr>
        <w:rPr>
          <w:rFonts w:ascii="Times New Roman" w:hAnsi="Times New Roman" w:cs="Times New Roman"/>
          <w:sz w:val="24"/>
          <w:szCs w:val="24"/>
          <w:lang w:val="en-US"/>
        </w:rPr>
      </w:pPr>
      <w:r w:rsidRPr="00BF29A8">
        <w:rPr>
          <w:rFonts w:ascii="Times New Roman" w:hAnsi="Times New Roman" w:cs="Times New Roman"/>
          <w:sz w:val="24"/>
          <w:szCs w:val="24"/>
          <w:lang w:val="en"/>
        </w:rPr>
        <w:t xml:space="preserve">Bank – Housing Construction Savings Bank </w:t>
      </w:r>
      <w:proofErr w:type="spellStart"/>
      <w:r w:rsidRPr="00BF29A8">
        <w:rPr>
          <w:rFonts w:ascii="Times New Roman" w:hAnsi="Times New Roman" w:cs="Times New Roman"/>
          <w:sz w:val="24"/>
          <w:szCs w:val="24"/>
          <w:lang w:val="en"/>
        </w:rPr>
        <w:t>Otbasy</w:t>
      </w:r>
      <w:proofErr w:type="spellEnd"/>
      <w:r w:rsidRPr="00BF29A8">
        <w:rPr>
          <w:rFonts w:ascii="Times New Roman" w:hAnsi="Times New Roman" w:cs="Times New Roman"/>
          <w:sz w:val="24"/>
          <w:szCs w:val="24"/>
          <w:lang w:val="en"/>
        </w:rPr>
        <w:t xml:space="preserve"> Bank Joint-Stock Company;</w:t>
      </w:r>
    </w:p>
    <w:p w14:paraId="0A977DBF" w14:textId="77777777" w:rsidR="003D636F" w:rsidRPr="00BF29A8" w:rsidRDefault="00E15939"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lang w:val="en"/>
        </w:rPr>
        <w:t>ID – internal regulations;</w:t>
      </w:r>
    </w:p>
    <w:p w14:paraId="70BFAC93" w14:textId="77777777" w:rsidR="003D636F" w:rsidRPr="002C5554" w:rsidRDefault="00E15939" w:rsidP="00881954">
      <w:pPr>
        <w:pStyle w:val="aa"/>
        <w:numPr>
          <w:ilvl w:val="0"/>
          <w:numId w:val="33"/>
        </w:numPr>
        <w:rPr>
          <w:rFonts w:ascii="Times New Roman" w:hAnsi="Times New Roman" w:cs="Times New Roman"/>
          <w:sz w:val="24"/>
          <w:szCs w:val="24"/>
          <w:lang w:val="en-US"/>
        </w:rPr>
      </w:pPr>
      <w:r w:rsidRPr="00BF29A8">
        <w:rPr>
          <w:rFonts w:ascii="Times New Roman" w:hAnsi="Times New Roman" w:cs="Times New Roman"/>
          <w:sz w:val="24"/>
          <w:szCs w:val="24"/>
          <w:lang w:val="en"/>
        </w:rPr>
        <w:t>ICAAP – internal capital adequacy assessment process;</w:t>
      </w:r>
    </w:p>
    <w:p w14:paraId="044C7958" w14:textId="77777777" w:rsidR="003D636F" w:rsidRPr="002C5554" w:rsidRDefault="00E15939" w:rsidP="00881954">
      <w:pPr>
        <w:pStyle w:val="aa"/>
        <w:numPr>
          <w:ilvl w:val="0"/>
          <w:numId w:val="33"/>
        </w:numPr>
        <w:rPr>
          <w:rFonts w:ascii="Times New Roman" w:hAnsi="Times New Roman" w:cs="Times New Roman"/>
          <w:sz w:val="24"/>
          <w:szCs w:val="24"/>
          <w:lang w:val="en-US"/>
        </w:rPr>
      </w:pPr>
      <w:r w:rsidRPr="00BF29A8">
        <w:rPr>
          <w:rFonts w:ascii="Times New Roman" w:hAnsi="Times New Roman" w:cs="Times New Roman"/>
          <w:sz w:val="24"/>
          <w:szCs w:val="24"/>
          <w:lang w:val="en"/>
        </w:rPr>
        <w:t>ILAAP – internal liquidity adequacy assessment process;</w:t>
      </w:r>
    </w:p>
    <w:p w14:paraId="04D7D4DA" w14:textId="77777777" w:rsidR="00BA3739" w:rsidRPr="000C614B" w:rsidRDefault="00E15939" w:rsidP="00881954">
      <w:pPr>
        <w:pStyle w:val="aa"/>
        <w:numPr>
          <w:ilvl w:val="0"/>
          <w:numId w:val="33"/>
        </w:numPr>
        <w:rPr>
          <w:rFonts w:ascii="Times New Roman" w:hAnsi="Times New Roman" w:cs="Times New Roman"/>
          <w:sz w:val="24"/>
          <w:szCs w:val="24"/>
        </w:rPr>
      </w:pPr>
      <w:r w:rsidRPr="000C614B">
        <w:rPr>
          <w:rFonts w:ascii="Times New Roman" w:hAnsi="Times New Roman" w:cs="Times New Roman"/>
          <w:sz w:val="24"/>
          <w:szCs w:val="24"/>
          <w:lang w:val="en"/>
        </w:rPr>
        <w:t>IAD – Internal Audit Department;</w:t>
      </w:r>
    </w:p>
    <w:p w14:paraId="670D654B" w14:textId="77777777" w:rsidR="00BA3739" w:rsidRPr="00EE677B" w:rsidRDefault="00E15939" w:rsidP="00881954">
      <w:pPr>
        <w:pStyle w:val="aa"/>
        <w:numPr>
          <w:ilvl w:val="0"/>
          <w:numId w:val="33"/>
        </w:numPr>
        <w:rPr>
          <w:rFonts w:ascii="Times New Roman" w:hAnsi="Times New Roman" w:cs="Times New Roman"/>
          <w:sz w:val="24"/>
          <w:szCs w:val="24"/>
        </w:rPr>
      </w:pPr>
      <w:r w:rsidRPr="00EE677B">
        <w:rPr>
          <w:rFonts w:ascii="Times New Roman" w:hAnsi="Times New Roman" w:cs="Times New Roman"/>
          <w:sz w:val="24"/>
          <w:szCs w:val="24"/>
          <w:lang w:val="en"/>
        </w:rPr>
        <w:t>ICD – Internal Control Department;</w:t>
      </w:r>
    </w:p>
    <w:p w14:paraId="07F3CDA2" w14:textId="77777777" w:rsidR="007624A8" w:rsidRPr="002C5554" w:rsidRDefault="00E15939" w:rsidP="00881954">
      <w:pPr>
        <w:pStyle w:val="aa"/>
        <w:numPr>
          <w:ilvl w:val="0"/>
          <w:numId w:val="33"/>
        </w:numPr>
        <w:rPr>
          <w:rFonts w:ascii="Times New Roman" w:hAnsi="Times New Roman" w:cs="Times New Roman"/>
          <w:sz w:val="24"/>
          <w:szCs w:val="24"/>
          <w:lang w:val="en-US"/>
        </w:rPr>
      </w:pPr>
      <w:r w:rsidRPr="007624A8">
        <w:rPr>
          <w:rFonts w:ascii="Times New Roman" w:hAnsi="Times New Roman" w:cs="Times New Roman"/>
          <w:sz w:val="24"/>
          <w:szCs w:val="24"/>
          <w:lang w:val="en"/>
        </w:rPr>
        <w:t>UCD – Underwriting and Collateral Department;</w:t>
      </w:r>
    </w:p>
    <w:p w14:paraId="2F247C18" w14:textId="77777777" w:rsidR="007624A8" w:rsidRPr="002C5554" w:rsidRDefault="00E15939" w:rsidP="00881954">
      <w:pPr>
        <w:pStyle w:val="aa"/>
        <w:numPr>
          <w:ilvl w:val="0"/>
          <w:numId w:val="33"/>
        </w:numPr>
        <w:rPr>
          <w:rFonts w:ascii="Times New Roman" w:hAnsi="Times New Roman" w:cs="Times New Roman"/>
          <w:sz w:val="24"/>
          <w:szCs w:val="24"/>
          <w:lang w:val="en-US"/>
        </w:rPr>
      </w:pPr>
      <w:r>
        <w:rPr>
          <w:rFonts w:ascii="Times New Roman" w:hAnsi="Times New Roman" w:cs="Times New Roman"/>
          <w:sz w:val="24"/>
          <w:szCs w:val="24"/>
          <w:lang w:val="en"/>
        </w:rPr>
        <w:t>FCRD – Financial and Credit Risks Department;</w:t>
      </w:r>
    </w:p>
    <w:p w14:paraId="25B9800F" w14:textId="77777777" w:rsidR="00E4396E" w:rsidRPr="00725CA8" w:rsidRDefault="00E15939"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lang w:val="en"/>
        </w:rPr>
        <w:t>HCS – housing construction savings;</w:t>
      </w:r>
    </w:p>
    <w:p w14:paraId="58728309" w14:textId="77777777" w:rsidR="00176617" w:rsidRDefault="00E15939" w:rsidP="00881954">
      <w:pPr>
        <w:pStyle w:val="aa"/>
        <w:numPr>
          <w:ilvl w:val="0"/>
          <w:numId w:val="33"/>
        </w:numPr>
        <w:rPr>
          <w:rFonts w:ascii="Times New Roman" w:hAnsi="Times New Roman" w:cs="Times New Roman"/>
          <w:sz w:val="24"/>
          <w:szCs w:val="24"/>
        </w:rPr>
      </w:pPr>
      <w:r>
        <w:rPr>
          <w:rFonts w:ascii="Times New Roman" w:hAnsi="Times New Roman" w:cs="Times New Roman"/>
          <w:sz w:val="24"/>
          <w:szCs w:val="24"/>
          <w:lang w:val="en"/>
        </w:rPr>
        <w:t>IS – information system;</w:t>
      </w:r>
    </w:p>
    <w:p w14:paraId="3C19C3F7" w14:textId="77777777" w:rsidR="00ED7A95" w:rsidRDefault="00E15939" w:rsidP="00881954">
      <w:pPr>
        <w:pStyle w:val="aa"/>
        <w:numPr>
          <w:ilvl w:val="0"/>
          <w:numId w:val="33"/>
        </w:numPr>
        <w:rPr>
          <w:rFonts w:ascii="Times New Roman" w:hAnsi="Times New Roman" w:cs="Times New Roman"/>
          <w:sz w:val="24"/>
          <w:szCs w:val="24"/>
        </w:rPr>
      </w:pPr>
      <w:r>
        <w:rPr>
          <w:rFonts w:ascii="Times New Roman" w:hAnsi="Times New Roman" w:cs="Times New Roman"/>
          <w:sz w:val="24"/>
          <w:szCs w:val="24"/>
          <w:lang w:val="en"/>
        </w:rPr>
        <w:t>BCC – Bank's Credit Committee;</w:t>
      </w:r>
    </w:p>
    <w:p w14:paraId="437FB073" w14:textId="77777777" w:rsidR="00725CA8" w:rsidRPr="002C5554" w:rsidRDefault="00E15939" w:rsidP="00881954">
      <w:pPr>
        <w:pStyle w:val="aa"/>
        <w:numPr>
          <w:ilvl w:val="0"/>
          <w:numId w:val="33"/>
        </w:numPr>
        <w:rPr>
          <w:rFonts w:ascii="Times New Roman" w:hAnsi="Times New Roman" w:cs="Times New Roman"/>
          <w:sz w:val="24"/>
          <w:szCs w:val="24"/>
          <w:lang w:val="en-US"/>
        </w:rPr>
      </w:pPr>
      <w:r>
        <w:rPr>
          <w:rFonts w:ascii="Times New Roman" w:hAnsi="Times New Roman" w:cs="Times New Roman"/>
          <w:sz w:val="24"/>
          <w:szCs w:val="24"/>
          <w:lang w:val="en"/>
        </w:rPr>
        <w:t>RC – Risk Committee under the Bank's Management Board;</w:t>
      </w:r>
    </w:p>
    <w:p w14:paraId="14A0FDD4" w14:textId="77777777" w:rsidR="002F7160" w:rsidRPr="002C5554" w:rsidRDefault="00E15939" w:rsidP="00881954">
      <w:pPr>
        <w:pStyle w:val="aa"/>
        <w:numPr>
          <w:ilvl w:val="0"/>
          <w:numId w:val="33"/>
        </w:numPr>
        <w:rPr>
          <w:rFonts w:ascii="Times New Roman" w:hAnsi="Times New Roman" w:cs="Times New Roman"/>
          <w:sz w:val="24"/>
          <w:szCs w:val="24"/>
          <w:lang w:val="en-US"/>
        </w:rPr>
      </w:pPr>
      <w:r w:rsidRPr="00BF29A8">
        <w:rPr>
          <w:rFonts w:ascii="Times New Roman" w:hAnsi="Times New Roman" w:cs="Times New Roman"/>
          <w:sz w:val="24"/>
          <w:szCs w:val="24"/>
          <w:lang w:val="en"/>
        </w:rPr>
        <w:t>RICC – Risk and Internal Control Committee of the Bank's Board of Directors;</w:t>
      </w:r>
    </w:p>
    <w:p w14:paraId="7F365D84" w14:textId="77777777" w:rsidR="00FB78DD" w:rsidRPr="002C5554" w:rsidRDefault="00E15939" w:rsidP="00881954">
      <w:pPr>
        <w:pStyle w:val="aa"/>
        <w:numPr>
          <w:ilvl w:val="0"/>
          <w:numId w:val="33"/>
        </w:numPr>
        <w:rPr>
          <w:rFonts w:ascii="Times New Roman" w:hAnsi="Times New Roman" w:cs="Times New Roman"/>
          <w:sz w:val="24"/>
          <w:szCs w:val="24"/>
          <w:lang w:val="en-US"/>
        </w:rPr>
      </w:pPr>
      <w:r>
        <w:rPr>
          <w:rFonts w:ascii="Times New Roman" w:hAnsi="Times New Roman" w:cs="Times New Roman"/>
          <w:sz w:val="24"/>
          <w:szCs w:val="24"/>
          <w:lang w:val="en"/>
        </w:rPr>
        <w:t>ALMC – Asset and Liability Management Committee under the Bank's Management Board;</w:t>
      </w:r>
    </w:p>
    <w:p w14:paraId="63AE974C" w14:textId="77777777" w:rsidR="00985E07" w:rsidRPr="002C5554" w:rsidRDefault="00E15939" w:rsidP="00881954">
      <w:pPr>
        <w:pStyle w:val="aa"/>
        <w:numPr>
          <w:ilvl w:val="0"/>
          <w:numId w:val="33"/>
        </w:numPr>
        <w:rPr>
          <w:rFonts w:ascii="Times New Roman" w:hAnsi="Times New Roman" w:cs="Times New Roman"/>
          <w:sz w:val="24"/>
          <w:szCs w:val="24"/>
          <w:lang w:val="en-US"/>
        </w:rPr>
      </w:pPr>
      <w:r w:rsidRPr="00985E07">
        <w:rPr>
          <w:rFonts w:ascii="Times New Roman" w:hAnsi="Times New Roman" w:cs="Times New Roman"/>
          <w:sz w:val="24"/>
          <w:szCs w:val="24"/>
          <w:lang w:val="en"/>
        </w:rPr>
        <w:t>IFRS – International Financial Reporting Standards;</w:t>
      </w:r>
    </w:p>
    <w:p w14:paraId="3BEF32AD" w14:textId="77777777" w:rsidR="0031110C" w:rsidRPr="0031110C" w:rsidRDefault="00E15939" w:rsidP="002C5FD4">
      <w:pPr>
        <w:pStyle w:val="aa"/>
        <w:numPr>
          <w:ilvl w:val="0"/>
          <w:numId w:val="33"/>
        </w:numPr>
        <w:ind w:left="426" w:hanging="66"/>
        <w:jc w:val="both"/>
        <w:rPr>
          <w:rFonts w:ascii="Times New Roman" w:hAnsi="Times New Roman" w:cs="Times New Roman"/>
          <w:sz w:val="24"/>
          <w:szCs w:val="24"/>
          <w:lang w:val="kk-KZ"/>
        </w:rPr>
      </w:pPr>
      <w:r w:rsidRPr="0031110C">
        <w:rPr>
          <w:rFonts w:ascii="Times New Roman" w:hAnsi="Times New Roman" w:cs="Times New Roman"/>
          <w:sz w:val="24"/>
          <w:szCs w:val="24"/>
          <w:lang w:val="en"/>
        </w:rPr>
        <w:t>Regulation No. 170 – Resolution of the Management Board of the National Bank of the Republic of Kazakhstan No. 170 dated September 13, 2017, “On Establishing Regulatory Values and Methods for Calculating Prudential Ratios and Other Mandatory Standards and Limits, the Amount of a Bank’s Capital, and the Rules for Calculating and Limiting Open Foreign Exchange Positions”;</w:t>
      </w:r>
    </w:p>
    <w:p w14:paraId="6277D82F" w14:textId="77777777" w:rsidR="00985E07" w:rsidRPr="0031110C" w:rsidRDefault="00E15939" w:rsidP="000101B2">
      <w:pPr>
        <w:pStyle w:val="aa"/>
        <w:numPr>
          <w:ilvl w:val="0"/>
          <w:numId w:val="33"/>
        </w:numPr>
        <w:rPr>
          <w:rFonts w:ascii="Times New Roman" w:hAnsi="Times New Roman" w:cs="Times New Roman"/>
          <w:sz w:val="24"/>
          <w:szCs w:val="24"/>
          <w:lang w:val="kk-KZ"/>
        </w:rPr>
      </w:pPr>
      <w:r w:rsidRPr="0031110C">
        <w:rPr>
          <w:rFonts w:ascii="Times New Roman" w:hAnsi="Times New Roman" w:cs="Times New Roman"/>
          <w:sz w:val="24"/>
          <w:szCs w:val="24"/>
          <w:lang w:val="en"/>
        </w:rPr>
        <w:t>OEP – Open exchange position;</w:t>
      </w:r>
    </w:p>
    <w:p w14:paraId="2AAD6BE7" w14:textId="77777777" w:rsidR="005A58BF" w:rsidRPr="002C5554" w:rsidRDefault="00E15939" w:rsidP="005A58BF">
      <w:pPr>
        <w:pStyle w:val="aa"/>
        <w:numPr>
          <w:ilvl w:val="0"/>
          <w:numId w:val="33"/>
        </w:numPr>
        <w:ind w:left="426" w:hanging="66"/>
        <w:jc w:val="both"/>
        <w:rPr>
          <w:rFonts w:ascii="Times New Roman" w:hAnsi="Times New Roman" w:cs="Times New Roman"/>
          <w:sz w:val="24"/>
          <w:szCs w:val="24"/>
          <w:lang w:val="en-US"/>
        </w:rPr>
      </w:pPr>
      <w:r w:rsidRPr="005A58BF">
        <w:rPr>
          <w:rFonts w:ascii="Times New Roman" w:hAnsi="Times New Roman" w:cs="Times New Roman"/>
          <w:sz w:val="24"/>
          <w:szCs w:val="24"/>
          <w:lang w:val="en"/>
        </w:rPr>
        <w:t>Rules 188 – Resolution of the Management Board of the National Bank of the Republic of Kazakhstan dated November 12, 2019 No. 188 "On Approval of the Rules for the Formation of a Risk Management and Internal Control System for Second-tier Banks, Branches of non-resident Banks of the Republic of Kazakhstan";</w:t>
      </w:r>
    </w:p>
    <w:p w14:paraId="5A1134D0" w14:textId="77777777" w:rsidR="00BF29A8" w:rsidRPr="002C5554" w:rsidRDefault="00E15939" w:rsidP="00881954">
      <w:pPr>
        <w:pStyle w:val="aa"/>
        <w:numPr>
          <w:ilvl w:val="0"/>
          <w:numId w:val="33"/>
        </w:numPr>
        <w:rPr>
          <w:rFonts w:ascii="Times New Roman" w:hAnsi="Times New Roman" w:cs="Times New Roman"/>
          <w:sz w:val="24"/>
          <w:szCs w:val="24"/>
          <w:lang w:val="en-US"/>
        </w:rPr>
      </w:pPr>
      <w:r w:rsidRPr="00BF29A8">
        <w:rPr>
          <w:rFonts w:ascii="Times New Roman" w:hAnsi="Times New Roman" w:cs="Times New Roman"/>
          <w:sz w:val="24"/>
          <w:szCs w:val="24"/>
          <w:lang w:val="en"/>
        </w:rPr>
        <w:t>CFP – a contingency funding plan;</w:t>
      </w:r>
    </w:p>
    <w:p w14:paraId="6123FCBB" w14:textId="77777777" w:rsidR="002F7160" w:rsidRPr="002C5554" w:rsidRDefault="00E15939" w:rsidP="00881954">
      <w:pPr>
        <w:pStyle w:val="aa"/>
        <w:numPr>
          <w:ilvl w:val="0"/>
          <w:numId w:val="33"/>
        </w:numPr>
        <w:rPr>
          <w:rFonts w:ascii="Times New Roman" w:hAnsi="Times New Roman" w:cs="Times New Roman"/>
          <w:sz w:val="24"/>
          <w:szCs w:val="24"/>
          <w:lang w:val="en-US"/>
        </w:rPr>
      </w:pPr>
      <w:r w:rsidRPr="00BF29A8">
        <w:rPr>
          <w:rFonts w:ascii="Times New Roman" w:hAnsi="Times New Roman" w:cs="Times New Roman"/>
          <w:sz w:val="24"/>
          <w:szCs w:val="24"/>
          <w:lang w:val="en"/>
        </w:rPr>
        <w:t>BD - the Board of Directors of the Bank;</w:t>
      </w:r>
    </w:p>
    <w:p w14:paraId="3CA384B9" w14:textId="77777777" w:rsidR="005F4EC3" w:rsidRPr="000C614B" w:rsidRDefault="00E15939" w:rsidP="00881954">
      <w:pPr>
        <w:pStyle w:val="aa"/>
        <w:numPr>
          <w:ilvl w:val="0"/>
          <w:numId w:val="33"/>
        </w:numPr>
        <w:rPr>
          <w:rFonts w:ascii="Times New Roman" w:hAnsi="Times New Roman" w:cs="Times New Roman"/>
          <w:sz w:val="24"/>
          <w:szCs w:val="24"/>
        </w:rPr>
      </w:pPr>
      <w:r w:rsidRPr="000C614B">
        <w:rPr>
          <w:rFonts w:ascii="Times New Roman" w:hAnsi="Times New Roman" w:cs="Times New Roman"/>
          <w:sz w:val="24"/>
          <w:szCs w:val="24"/>
          <w:lang w:val="en"/>
        </w:rPr>
        <w:t>CCD – Compliance Control Department;</w:t>
      </w:r>
    </w:p>
    <w:p w14:paraId="68279189" w14:textId="77777777" w:rsidR="00927B32" w:rsidRPr="00BF29A8" w:rsidRDefault="00E15939" w:rsidP="00881954">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lang w:val="en"/>
        </w:rPr>
        <w:t>ACB – authorized collegial bodies.</w:t>
      </w:r>
    </w:p>
    <w:p w14:paraId="510716ED" w14:textId="77777777" w:rsidR="00B20AA5" w:rsidRPr="00E4396E" w:rsidRDefault="00B20AA5">
      <w:pPr>
        <w:spacing w:line="259" w:lineRule="auto"/>
      </w:pPr>
    </w:p>
    <w:p w14:paraId="180759FE" w14:textId="77777777" w:rsidR="00B20AA5" w:rsidRPr="00E4396E" w:rsidRDefault="00E15939">
      <w:pPr>
        <w:spacing w:line="259" w:lineRule="auto"/>
        <w:rPr>
          <w:rFonts w:eastAsiaTheme="minorHAnsi"/>
        </w:rPr>
      </w:pPr>
      <w:r w:rsidRPr="00E4396E">
        <w:br w:type="page"/>
      </w:r>
    </w:p>
    <w:p w14:paraId="6D141B38" w14:textId="77777777" w:rsidR="00A83CD2" w:rsidRPr="002C5554" w:rsidRDefault="00E15939" w:rsidP="00A83CD2">
      <w:pPr>
        <w:pStyle w:val="N10"/>
        <w:ind w:left="0" w:firstLine="0"/>
        <w:rPr>
          <w:rFonts w:cs="Times New Roman"/>
          <w:sz w:val="24"/>
          <w:szCs w:val="24"/>
        </w:rPr>
      </w:pPr>
      <w:bookmarkStart w:id="3" w:name="_Toc256000000"/>
      <w:bookmarkEnd w:id="1"/>
      <w:bookmarkEnd w:id="0"/>
      <w:r w:rsidRPr="00B235C4">
        <w:rPr>
          <w:rFonts w:cs="Times New Roman"/>
          <w:sz w:val="24"/>
          <w:szCs w:val="24"/>
          <w:lang w:val="en"/>
        </w:rPr>
        <w:lastRenderedPageBreak/>
        <w:t>1. Brief information about the main activities of the Bank</w:t>
      </w:r>
      <w:bookmarkEnd w:id="3"/>
    </w:p>
    <w:p w14:paraId="37652B28" w14:textId="77777777" w:rsidR="00701862" w:rsidRPr="002C5554" w:rsidRDefault="00701862" w:rsidP="002231A1">
      <w:pPr>
        <w:tabs>
          <w:tab w:val="left" w:pos="3686"/>
        </w:tabs>
        <w:ind w:firstLine="567"/>
        <w:jc w:val="both"/>
        <w:rPr>
          <w:lang w:val="en-US"/>
        </w:rPr>
      </w:pPr>
    </w:p>
    <w:p w14:paraId="3F356217" w14:textId="77777777" w:rsidR="00F01785" w:rsidRPr="002C5554" w:rsidRDefault="00E15939" w:rsidP="00F01785">
      <w:pPr>
        <w:tabs>
          <w:tab w:val="left" w:pos="3686"/>
        </w:tabs>
        <w:ind w:firstLine="567"/>
        <w:jc w:val="both"/>
        <w:rPr>
          <w:lang w:val="en-US"/>
        </w:rPr>
      </w:pPr>
      <w:proofErr w:type="spellStart"/>
      <w:r w:rsidRPr="00F01785">
        <w:rPr>
          <w:lang w:val="en"/>
        </w:rPr>
        <w:t>Otbasy</w:t>
      </w:r>
      <w:proofErr w:type="spellEnd"/>
      <w:r w:rsidRPr="00F01785">
        <w:rPr>
          <w:lang w:val="en"/>
        </w:rPr>
        <w:t xml:space="preserve"> Bank JSC was established in 2003 in order to improve and enhance the effectiveness of long-term financing of housing construction and the development of a housing savings system aimed at improving the living conditions of the population. </w:t>
      </w:r>
    </w:p>
    <w:p w14:paraId="7E00EDE9" w14:textId="77777777" w:rsidR="00F01785" w:rsidRPr="002C5554" w:rsidRDefault="00E15939" w:rsidP="00F01785">
      <w:pPr>
        <w:tabs>
          <w:tab w:val="left" w:pos="851"/>
          <w:tab w:val="left" w:pos="3686"/>
        </w:tabs>
        <w:ind w:firstLine="567"/>
        <w:jc w:val="both"/>
        <w:rPr>
          <w:lang w:val="en-US"/>
        </w:rPr>
      </w:pPr>
      <w:r w:rsidRPr="00F01785">
        <w:rPr>
          <w:lang w:val="en"/>
        </w:rPr>
        <w:t>The main activities of the Bank are:</w:t>
      </w:r>
    </w:p>
    <w:p w14:paraId="04B3F085" w14:textId="77777777" w:rsidR="00F01785" w:rsidRPr="002C5554" w:rsidRDefault="00E15939" w:rsidP="00F01785">
      <w:pPr>
        <w:pStyle w:val="aa"/>
        <w:numPr>
          <w:ilvl w:val="0"/>
          <w:numId w:val="48"/>
        </w:numPr>
        <w:tabs>
          <w:tab w:val="left" w:pos="851"/>
        </w:tabs>
        <w:ind w:left="0" w:firstLine="567"/>
        <w:jc w:val="both"/>
        <w:rPr>
          <w:rFonts w:ascii="Times New Roman" w:eastAsia="Times New Roman" w:hAnsi="Times New Roman" w:cs="Times New Roman"/>
          <w:color w:val="000000" w:themeColor="text1"/>
          <w:sz w:val="24"/>
          <w:szCs w:val="24"/>
          <w:lang w:val="en-US"/>
        </w:rPr>
      </w:pPr>
      <w:r w:rsidRPr="00F01785">
        <w:rPr>
          <w:rFonts w:ascii="Times New Roman" w:eastAsia="Times New Roman" w:hAnsi="Times New Roman" w:cs="Times New Roman"/>
          <w:color w:val="000000" w:themeColor="text1"/>
          <w:sz w:val="24"/>
          <w:szCs w:val="24"/>
          <w:lang w:val="en"/>
        </w:rPr>
        <w:t>acceptance of deposits in housing construction savings, opening and maintaining depositors' accounts;</w:t>
      </w:r>
    </w:p>
    <w:p w14:paraId="061ECEF3" w14:textId="77777777" w:rsidR="00F01785" w:rsidRPr="002C5554" w:rsidRDefault="00E15939" w:rsidP="00F01785">
      <w:pPr>
        <w:pStyle w:val="aa"/>
        <w:numPr>
          <w:ilvl w:val="0"/>
          <w:numId w:val="47"/>
        </w:numPr>
        <w:tabs>
          <w:tab w:val="left" w:pos="851"/>
          <w:tab w:val="left" w:pos="3686"/>
        </w:tabs>
        <w:spacing w:line="240" w:lineRule="auto"/>
        <w:ind w:left="0" w:firstLine="567"/>
        <w:jc w:val="both"/>
        <w:rPr>
          <w:rFonts w:ascii="Times New Roman" w:eastAsia="Times New Roman" w:hAnsi="Times New Roman" w:cs="Times New Roman"/>
          <w:color w:val="000000" w:themeColor="text1"/>
          <w:sz w:val="24"/>
          <w:szCs w:val="24"/>
          <w:lang w:val="en-US"/>
        </w:rPr>
      </w:pPr>
      <w:r w:rsidRPr="00F01785">
        <w:rPr>
          <w:rFonts w:ascii="Times New Roman" w:eastAsia="Times New Roman" w:hAnsi="Times New Roman" w:cs="Times New Roman"/>
          <w:color w:val="000000" w:themeColor="text1"/>
          <w:sz w:val="24"/>
          <w:szCs w:val="24"/>
          <w:lang w:val="en"/>
        </w:rPr>
        <w:t>provision of housing, pre-housing and interim housing loans to depositors for measures to improve housing conditions;</w:t>
      </w:r>
    </w:p>
    <w:p w14:paraId="66F5EF55" w14:textId="77777777" w:rsidR="00F01785" w:rsidRPr="002C5554" w:rsidRDefault="00E15939" w:rsidP="00F01785">
      <w:pPr>
        <w:pStyle w:val="aa"/>
        <w:numPr>
          <w:ilvl w:val="0"/>
          <w:numId w:val="47"/>
        </w:numPr>
        <w:tabs>
          <w:tab w:val="left" w:pos="851"/>
          <w:tab w:val="left" w:pos="3686"/>
        </w:tabs>
        <w:spacing w:line="240" w:lineRule="auto"/>
        <w:ind w:left="0" w:firstLine="567"/>
        <w:jc w:val="both"/>
        <w:rPr>
          <w:rFonts w:ascii="Times New Roman" w:eastAsia="Times New Roman" w:hAnsi="Times New Roman" w:cs="Times New Roman"/>
          <w:color w:val="000000" w:themeColor="text1"/>
          <w:sz w:val="24"/>
          <w:szCs w:val="24"/>
          <w:lang w:val="en-US"/>
        </w:rPr>
      </w:pPr>
      <w:r w:rsidRPr="00F01785">
        <w:rPr>
          <w:rFonts w:ascii="Times New Roman" w:eastAsia="Times New Roman" w:hAnsi="Times New Roman" w:cs="Times New Roman"/>
          <w:color w:val="000000" w:themeColor="text1"/>
          <w:sz w:val="24"/>
          <w:szCs w:val="24"/>
          <w:lang w:val="en"/>
        </w:rPr>
        <w:t>opening and maintaining special accounts for crediting lump sum pension payments;</w:t>
      </w:r>
    </w:p>
    <w:p w14:paraId="03EB6C6B" w14:textId="77777777" w:rsidR="00F01785" w:rsidRPr="002C5554" w:rsidRDefault="00E15939" w:rsidP="00F01785">
      <w:pPr>
        <w:pStyle w:val="aa"/>
        <w:numPr>
          <w:ilvl w:val="0"/>
          <w:numId w:val="47"/>
        </w:numPr>
        <w:tabs>
          <w:tab w:val="left" w:pos="851"/>
          <w:tab w:val="left" w:pos="3686"/>
        </w:tabs>
        <w:spacing w:line="240" w:lineRule="auto"/>
        <w:ind w:left="0" w:firstLine="567"/>
        <w:jc w:val="both"/>
        <w:rPr>
          <w:rFonts w:ascii="Times New Roman" w:eastAsia="Times New Roman" w:hAnsi="Times New Roman" w:cs="Times New Roman"/>
          <w:color w:val="000000" w:themeColor="text1"/>
          <w:sz w:val="24"/>
          <w:szCs w:val="24"/>
          <w:lang w:val="en-US"/>
        </w:rPr>
      </w:pPr>
      <w:r w:rsidRPr="00F01785">
        <w:rPr>
          <w:rFonts w:ascii="Times New Roman" w:eastAsia="Times New Roman" w:hAnsi="Times New Roman" w:cs="Times New Roman"/>
          <w:color w:val="000000" w:themeColor="text1"/>
          <w:sz w:val="24"/>
          <w:szCs w:val="24"/>
          <w:lang w:val="en"/>
        </w:rPr>
        <w:t>opening and maintaining current accounts for crediting payments and subsidies in order to pay for rented housing in a private housing fund;</w:t>
      </w:r>
    </w:p>
    <w:p w14:paraId="79AB04DB" w14:textId="77777777" w:rsidR="00F01785" w:rsidRPr="002C5554" w:rsidRDefault="00E15939" w:rsidP="00F01785">
      <w:pPr>
        <w:pStyle w:val="aa"/>
        <w:numPr>
          <w:ilvl w:val="0"/>
          <w:numId w:val="47"/>
        </w:numPr>
        <w:tabs>
          <w:tab w:val="left" w:pos="851"/>
          <w:tab w:val="left" w:pos="3686"/>
        </w:tabs>
        <w:spacing w:line="240" w:lineRule="auto"/>
        <w:ind w:left="0" w:firstLine="567"/>
        <w:jc w:val="both"/>
        <w:rPr>
          <w:rFonts w:ascii="Times New Roman" w:eastAsia="Times New Roman" w:hAnsi="Times New Roman" w:cs="Times New Roman"/>
          <w:color w:val="000000" w:themeColor="text1"/>
          <w:sz w:val="24"/>
          <w:szCs w:val="24"/>
          <w:lang w:val="en-US"/>
        </w:rPr>
      </w:pPr>
      <w:r w:rsidRPr="00F01785">
        <w:rPr>
          <w:rFonts w:ascii="Times New Roman" w:eastAsia="Times New Roman" w:hAnsi="Times New Roman" w:cs="Times New Roman"/>
          <w:color w:val="000000" w:themeColor="text1"/>
          <w:sz w:val="24"/>
          <w:szCs w:val="24"/>
          <w:lang w:val="en"/>
        </w:rPr>
        <w:t>accepting deposits, opening and maintaining bank accounts of individuals for participation in the state educational funded system;</w:t>
      </w:r>
    </w:p>
    <w:p w14:paraId="30E64A68" w14:textId="77777777" w:rsidR="00F01785" w:rsidRPr="002C5554" w:rsidRDefault="00E15939" w:rsidP="00F01785">
      <w:pPr>
        <w:pStyle w:val="aa"/>
        <w:numPr>
          <w:ilvl w:val="0"/>
          <w:numId w:val="47"/>
        </w:numPr>
        <w:tabs>
          <w:tab w:val="left" w:pos="851"/>
          <w:tab w:val="left" w:pos="3686"/>
        </w:tabs>
        <w:spacing w:line="240" w:lineRule="auto"/>
        <w:ind w:left="0" w:firstLine="567"/>
        <w:jc w:val="both"/>
        <w:rPr>
          <w:rFonts w:ascii="Times New Roman" w:eastAsia="Times New Roman" w:hAnsi="Times New Roman" w:cs="Times New Roman"/>
          <w:color w:val="000000" w:themeColor="text1"/>
          <w:sz w:val="24"/>
          <w:szCs w:val="24"/>
          <w:lang w:val="en-US"/>
        </w:rPr>
      </w:pPr>
      <w:r w:rsidRPr="00F01785">
        <w:rPr>
          <w:rFonts w:ascii="Times New Roman" w:eastAsia="Times New Roman" w:hAnsi="Times New Roman" w:cs="Times New Roman"/>
          <w:color w:val="000000" w:themeColor="text1"/>
          <w:sz w:val="24"/>
          <w:szCs w:val="24"/>
          <w:lang w:val="en"/>
        </w:rPr>
        <w:t>opening and maintaining current accounts for crediting payments of target savings from the unified accumulative pension fund in order to improve housing conditions and (or) pay for education;</w:t>
      </w:r>
    </w:p>
    <w:p w14:paraId="0DC15392" w14:textId="77777777" w:rsidR="00F01785" w:rsidRPr="002C5554" w:rsidRDefault="00E15939" w:rsidP="00F01785">
      <w:pPr>
        <w:pStyle w:val="aa"/>
        <w:numPr>
          <w:ilvl w:val="0"/>
          <w:numId w:val="47"/>
        </w:numPr>
        <w:tabs>
          <w:tab w:val="left" w:pos="851"/>
          <w:tab w:val="left" w:pos="3686"/>
        </w:tabs>
        <w:spacing w:line="240" w:lineRule="auto"/>
        <w:ind w:left="0" w:firstLine="567"/>
        <w:jc w:val="both"/>
        <w:rPr>
          <w:rFonts w:ascii="Times New Roman" w:eastAsia="Times New Roman" w:hAnsi="Times New Roman" w:cs="Times New Roman"/>
          <w:color w:val="000000" w:themeColor="text1"/>
          <w:sz w:val="24"/>
          <w:szCs w:val="24"/>
          <w:lang w:val="en-US"/>
        </w:rPr>
      </w:pPr>
      <w:r w:rsidRPr="00F01785">
        <w:rPr>
          <w:rFonts w:ascii="Times New Roman" w:eastAsia="Times New Roman" w:hAnsi="Times New Roman" w:cs="Times New Roman"/>
          <w:color w:val="000000" w:themeColor="text1"/>
          <w:sz w:val="24"/>
          <w:szCs w:val="24"/>
          <w:lang w:val="en"/>
        </w:rPr>
        <w:t>opening and maintaining current accounts for crediting savings payments from an educational savings deposit or insurance payments under an educational savings insurance contract for improving housing conditions.</w:t>
      </w:r>
    </w:p>
    <w:p w14:paraId="4CAFCF12" w14:textId="77777777" w:rsidR="00F01785" w:rsidRPr="002C5554" w:rsidRDefault="00E15939" w:rsidP="00F01785">
      <w:pPr>
        <w:tabs>
          <w:tab w:val="left" w:pos="3686"/>
        </w:tabs>
        <w:ind w:firstLine="567"/>
        <w:jc w:val="both"/>
        <w:rPr>
          <w:color w:val="000000" w:themeColor="text1"/>
          <w:lang w:val="en-US"/>
        </w:rPr>
      </w:pPr>
      <w:r w:rsidRPr="00F01785">
        <w:rPr>
          <w:color w:val="000000" w:themeColor="text1"/>
          <w:lang w:val="en"/>
        </w:rPr>
        <w:t>The founder of the Bank is the Government of the Republic of Kazakhstan represented by the State Property and Privatization Committee of the Ministry of Finance of the Republic of Kazakhstan, which has the right to dispose of the state block of shares in the Bank. Since August 2013, Baiterek NMH JSC has been the Sole Shareholder of the Bank (hereinafter referred to as the Holding). The Bank is a member of the Holding's group of companies and does not have its own subsidiaries, nor does it have shares in the authorized capital of other legal entities.</w:t>
      </w:r>
    </w:p>
    <w:p w14:paraId="0FA7C6E0" w14:textId="77777777" w:rsidR="00F01785" w:rsidRPr="002C5554" w:rsidRDefault="00E15939" w:rsidP="00F01785">
      <w:pPr>
        <w:tabs>
          <w:tab w:val="left" w:pos="3686"/>
        </w:tabs>
        <w:ind w:firstLine="567"/>
        <w:jc w:val="both"/>
        <w:rPr>
          <w:lang w:val="en-US"/>
        </w:rPr>
      </w:pPr>
      <w:r w:rsidRPr="00F01785">
        <w:rPr>
          <w:lang w:val="en"/>
        </w:rPr>
        <w:t>The Bank's branches are represented in all regions and major cities of Kazakhstan. As of 01.01.2026 the Bank has 20 branches, 14 service centers, 225 consulting centers and 2 service points. In addition, the Bank has a wide agency network of more than 1,200 consulting agents.</w:t>
      </w:r>
    </w:p>
    <w:p w14:paraId="328530FB" w14:textId="77777777" w:rsidR="00F01785" w:rsidRPr="00F01785" w:rsidRDefault="00E15939" w:rsidP="00F01785">
      <w:pPr>
        <w:tabs>
          <w:tab w:val="left" w:pos="709"/>
        </w:tabs>
        <w:ind w:firstLine="567"/>
        <w:jc w:val="both"/>
        <w:rPr>
          <w:lang w:val="kk-KZ"/>
        </w:rPr>
      </w:pPr>
      <w:r w:rsidRPr="00F01785">
        <w:rPr>
          <w:lang w:val="en"/>
        </w:rPr>
        <w:t xml:space="preserve">  The business model reflects the Bank's place and role in the economy, the interconnection of participants in the HSS system, the combination of the chosen development strategy and products implemented by the Bank, planning processes that ensure competitiveness and a sufficient level of profitability. The Bank is the only bank in the country implementing the HSS system. The Bank works effectively with the government/the Sole shareholder, participating in the implementation of the state housing policy, acting as an operator of state and regional programs.</w:t>
      </w:r>
    </w:p>
    <w:p w14:paraId="3AB4CA1A" w14:textId="77777777" w:rsidR="00F01785" w:rsidRPr="002C5554" w:rsidRDefault="00E15939" w:rsidP="00F01785">
      <w:pPr>
        <w:tabs>
          <w:tab w:val="left" w:pos="3686"/>
        </w:tabs>
        <w:ind w:firstLine="567"/>
        <w:jc w:val="both"/>
        <w:rPr>
          <w:lang w:val="en-US"/>
        </w:rPr>
      </w:pPr>
      <w:r w:rsidRPr="00F01785">
        <w:rPr>
          <w:lang w:val="en"/>
        </w:rPr>
        <w:t>The bank actively collaborates with local government agencies and construction companies on the implementation of national and regional programs, works with international financial institutions to exchange expertise and secure loans, is an active member of various associations and organizations, and builds partnerships with other second-tier banks.</w:t>
      </w:r>
    </w:p>
    <w:p w14:paraId="44BA14C5" w14:textId="77777777" w:rsidR="00F01785" w:rsidRPr="002C5554" w:rsidRDefault="00E15939" w:rsidP="00F01785">
      <w:pPr>
        <w:tabs>
          <w:tab w:val="left" w:pos="3686"/>
        </w:tabs>
        <w:ind w:firstLine="567"/>
        <w:jc w:val="both"/>
        <w:rPr>
          <w:lang w:val="en-US"/>
        </w:rPr>
      </w:pPr>
      <w:r w:rsidRPr="00F01785">
        <w:rPr>
          <w:lang w:val="en"/>
        </w:rPr>
        <w:t xml:space="preserve">The Bank strives to provide a wide coverage of the economically active population of the country to participate in the HSS system, while maintaining the principles of reliability, trust, transparency and high quality in relationships with customers and partners. </w:t>
      </w:r>
    </w:p>
    <w:p w14:paraId="31BBB4CA" w14:textId="77777777" w:rsidR="00F01785" w:rsidRPr="002C5554" w:rsidRDefault="00E15939" w:rsidP="00F01785">
      <w:pPr>
        <w:tabs>
          <w:tab w:val="left" w:pos="3686"/>
        </w:tabs>
        <w:ind w:firstLine="567"/>
        <w:jc w:val="both"/>
        <w:rPr>
          <w:lang w:val="en-US"/>
        </w:rPr>
      </w:pPr>
      <w:r w:rsidRPr="00F01785">
        <w:rPr>
          <w:lang w:val="en" w:eastAsia="ru-RU"/>
        </w:rPr>
        <w:t>The Bank is actively involved in solving strategic and social tasks of the state. Since 2005, the Bank has been involved in the implementation of public housing policy, acting as a financial operator of government programs. The Bank provides loans for the purchase of housing to waiting lists in need of housing, including low-income, socially vulnerable segments of the population, such as large families, mothers with many children, families with or raising children with disabilities, persons with disabilities of groups 1 and 2, orphans and children left without parental care.</w:t>
      </w:r>
    </w:p>
    <w:p w14:paraId="09138074" w14:textId="77777777" w:rsidR="00F01785" w:rsidRPr="002C5554" w:rsidRDefault="00F01785" w:rsidP="00F01785">
      <w:pPr>
        <w:tabs>
          <w:tab w:val="left" w:pos="3686"/>
        </w:tabs>
        <w:ind w:firstLine="567"/>
        <w:jc w:val="both"/>
        <w:rPr>
          <w:lang w:val="en-US"/>
        </w:rPr>
      </w:pPr>
    </w:p>
    <w:p w14:paraId="4C33982A" w14:textId="77777777" w:rsidR="002A122F" w:rsidRPr="002C5554" w:rsidRDefault="00E15939" w:rsidP="002A122F">
      <w:pPr>
        <w:pStyle w:val="N10"/>
        <w:ind w:left="0" w:firstLine="0"/>
        <w:rPr>
          <w:rFonts w:cs="Times New Roman"/>
          <w:sz w:val="24"/>
          <w:szCs w:val="24"/>
        </w:rPr>
      </w:pPr>
      <w:bookmarkStart w:id="4" w:name="_Toc256000001"/>
      <w:r>
        <w:rPr>
          <w:rFonts w:cs="Times New Roman"/>
          <w:sz w:val="24"/>
          <w:szCs w:val="24"/>
          <w:lang w:val="en"/>
        </w:rPr>
        <w:lastRenderedPageBreak/>
        <w:t>2. The procedure for the implementation of the risk management policy by the Board of Directors and the Management Board of the Bank</w:t>
      </w:r>
      <w:bookmarkEnd w:id="4"/>
    </w:p>
    <w:p w14:paraId="72615BAC" w14:textId="77777777" w:rsidR="00701862" w:rsidRPr="002C5554" w:rsidRDefault="00701862" w:rsidP="002A122F">
      <w:pPr>
        <w:ind w:firstLine="567"/>
        <w:jc w:val="both"/>
        <w:textAlignment w:val="baseline"/>
        <w:rPr>
          <w:lang w:val="en-US"/>
        </w:rPr>
      </w:pPr>
    </w:p>
    <w:p w14:paraId="1C06BC37" w14:textId="77777777" w:rsidR="002A122F" w:rsidRPr="002C5554" w:rsidRDefault="00E15939" w:rsidP="002A122F">
      <w:pPr>
        <w:ind w:firstLine="567"/>
        <w:jc w:val="both"/>
        <w:textAlignment w:val="baseline"/>
        <w:rPr>
          <w:lang w:val="en-US"/>
        </w:rPr>
      </w:pPr>
      <w:r>
        <w:rPr>
          <w:lang w:val="en"/>
        </w:rPr>
        <w:t xml:space="preserve">The Bank's Board of Directors approved the Risk Management Policy, which defines the basic principles of the Bank's risk management organization. In accordance with this policy, the Bank’s Board of Directors ensures that a risk management system is in place that is appropriate to the Bank’s chosen business model, the scale of its operations, and the nature and complexity of its transactions, and that there are adequate processes for identifying, measuring, assessing, monitoring, and controlling significant risks, as well as procedures for mitigating such risks, in order to ensure the Bank’s financial stability and sound operation. </w:t>
      </w:r>
    </w:p>
    <w:p w14:paraId="496F3EA8" w14:textId="77777777" w:rsidR="007338E2" w:rsidRPr="002C5554" w:rsidRDefault="00E15939" w:rsidP="002A122F">
      <w:pPr>
        <w:ind w:firstLine="567"/>
        <w:jc w:val="both"/>
        <w:textAlignment w:val="baseline"/>
        <w:rPr>
          <w:lang w:val="en-US"/>
        </w:rPr>
      </w:pPr>
      <w:r w:rsidRPr="00B235C4">
        <w:rPr>
          <w:lang w:val="en"/>
        </w:rPr>
        <w:t xml:space="preserve">The exclusive competence of the Board of Directors of the Bank in terms of risk management includes the powers regulated by the Bank's Charter, internal documents of the Bank, as well as the Regulations on the Board of Directors of the Bank. In order to effectively perform its assigned duties, the Board of Directors monitors and controls risk management, internal audit, compliance with the requirements of the legislation of the Republic of Kazakhstan and internal documents of the Bank through interaction with authorized collegial bodies under the Board of Directors of the Bank, the Management Board of the Bank and the Head of Risk Management. The Board of Directors of the Bank operates a RICC, which carries out its activities within the framework of the Regulations defining its powers, competence, as well as the principles of its work. </w:t>
      </w:r>
    </w:p>
    <w:p w14:paraId="4BC3811B" w14:textId="77777777" w:rsidR="003D636F" w:rsidRPr="002C5554" w:rsidRDefault="00E15939" w:rsidP="003D636F">
      <w:pPr>
        <w:ind w:firstLine="567"/>
        <w:jc w:val="both"/>
        <w:textAlignment w:val="baseline"/>
        <w:rPr>
          <w:lang w:val="en-US"/>
        </w:rPr>
      </w:pPr>
      <w:r w:rsidRPr="00BA3739">
        <w:rPr>
          <w:lang w:val="en"/>
        </w:rPr>
        <w:t>The primary responsibilities of the Bank’s Board of Directors within the risk management framework include, but are not limited to, those defined by regulatory requirements and the Bank’s IRs: making sound decisions and acting in good faith in the Bank’s best interests; active involvement in the Bank’s activities and awareness of significant changes in the Bank’s operations; approval of the Bank’s IRs within the Board of Directors’ authority; approval of and oversight of compliance with the Bank’s Risk Appetite Strategy and risk appetite levels; election of Management Board members and appointment of the Head of Risk Management; reviewing reports submitted to the Board of Directors; ensuring the establishment of three lines of defense within the Bank; other functions as defined by regulatory requirements and the Bank’s IRs.</w:t>
      </w:r>
    </w:p>
    <w:p w14:paraId="263CCCFD" w14:textId="77777777" w:rsidR="003D636F" w:rsidRPr="002C5554" w:rsidRDefault="00E15939" w:rsidP="003D636F">
      <w:pPr>
        <w:ind w:firstLine="567"/>
        <w:jc w:val="both"/>
        <w:textAlignment w:val="baseline"/>
        <w:rPr>
          <w:lang w:val="en-US"/>
        </w:rPr>
      </w:pPr>
      <w:r w:rsidRPr="00BA3739">
        <w:rPr>
          <w:lang w:val="en"/>
        </w:rPr>
        <w:t xml:space="preserve">The primary responsibilities of the Bank’s RICC within the risk management system include: ensuring the development of the Risk Appetite Strategy and risk appetite levels, and defining the Bank’s risk profile; ensuring the development and submission for approval by the Bank’s Board of Directors of: a document regulating the main approaches and principles of the ICAAP and ILAAP, procedures for conducting stress tests and stress test scenarios, the Bank’s Business Continuity Management Policy, the TRF, the Operational Risk Management Policy, the Bank’s Information Technology and Information Security Risk Management Policy, Internal Control Policy, Compliance Risk Management Policy, and internal procedures defining the operation of the management information system, which ensures that the Bank’s Board of Directors is regularly provided with complete, accurate, and timely information regarding the level of risks assumed by the Bank. </w:t>
      </w:r>
    </w:p>
    <w:p w14:paraId="0590DA22" w14:textId="77777777" w:rsidR="00BF29A8" w:rsidRPr="002C5554" w:rsidRDefault="00E15939" w:rsidP="00BF29A8">
      <w:pPr>
        <w:ind w:firstLine="567"/>
        <w:jc w:val="both"/>
        <w:textAlignment w:val="baseline"/>
        <w:rPr>
          <w:lang w:val="en-US"/>
        </w:rPr>
      </w:pPr>
      <w:r w:rsidRPr="00BA3739">
        <w:rPr>
          <w:lang w:val="en"/>
        </w:rPr>
        <w:t>The Management Board of the Bank manages the Bank's day-to-day operations in accordance with the chosen business model, scale of operations, types and complexity of operations, risk profile, and IDs approved by the Board of Directors of the Bank.</w:t>
      </w:r>
    </w:p>
    <w:p w14:paraId="210D0420" w14:textId="77777777" w:rsidR="00BF29A8" w:rsidRPr="002C5554" w:rsidRDefault="00E15939" w:rsidP="00BF29A8">
      <w:pPr>
        <w:ind w:firstLine="567"/>
        <w:jc w:val="both"/>
        <w:textAlignment w:val="baseline"/>
        <w:rPr>
          <w:lang w:val="en-US"/>
        </w:rPr>
      </w:pPr>
      <w:r w:rsidRPr="00BA3739">
        <w:rPr>
          <w:lang w:val="en"/>
        </w:rPr>
        <w:t>The Bank’s Management Board’s primary responsibilities within the risk management framework include, but are not limited to, those specified in Regulation 188 and the Bank’s IRs: responsibility for developing the Bank’s IRs, which are approved by the Bank’s Board of Directors, and for providing preliminary approval of reports submitted to the Bank’s Board of Directors for consideration; monitoring compliance with the limits and restrictions established by the Bank’s Board of Directors.</w:t>
      </w:r>
    </w:p>
    <w:p w14:paraId="0B63F4D4" w14:textId="77777777" w:rsidR="00576F5F" w:rsidRPr="000510CA" w:rsidRDefault="00E15939" w:rsidP="00576F5F">
      <w:pPr>
        <w:ind w:firstLine="709"/>
        <w:jc w:val="both"/>
        <w:rPr>
          <w:lang w:val="kk-KZ"/>
        </w:rPr>
      </w:pPr>
      <w:r w:rsidRPr="000510CA">
        <w:rPr>
          <w:lang w:val="en"/>
        </w:rPr>
        <w:t xml:space="preserve">The Risk Committee under the Management Board assists the Bank’s Management Board in improving and strengthening the Bank’s risk management and internal control systems, and in ensuring the reliability and effectiveness of risk management activities (including operational risk, </w:t>
      </w:r>
      <w:r w:rsidRPr="000510CA">
        <w:rPr>
          <w:lang w:val="en"/>
        </w:rPr>
        <w:lastRenderedPageBreak/>
        <w:t>information technology and information security risk, business continuity management, and fraud and illegal activity risk).</w:t>
      </w:r>
    </w:p>
    <w:p w14:paraId="14B41B25" w14:textId="77777777" w:rsidR="00576F5F" w:rsidRPr="000510CA" w:rsidRDefault="00E15939" w:rsidP="00576F5F">
      <w:pPr>
        <w:ind w:firstLine="709"/>
        <w:jc w:val="both"/>
        <w:rPr>
          <w:lang w:val="kk-KZ"/>
        </w:rPr>
      </w:pPr>
      <w:r>
        <w:rPr>
          <w:lang w:val="en"/>
        </w:rPr>
        <w:t>The main objectives of the Risk Committee are: to prepare recommendations and proposals for the Bank’s Management Board regarding the establishment and maintenance of effective risk management and internal control systems; to develop processes designed to identify, assess, monitor, and control the Bank’s risks; coordinating the risk management and internal control processes of the Bank’s structural units and branches; ensuring a continuous exchange of information on risks and the Bank’s internal control among Committee members and communicating such information to risk owners and risk factors in order to enhance risk culture, transparency, and the effectiveness of risk management and internal control systems; making decisions on issues aimed at improving the quality of services provided, within the framework of the report on customer inquiries (complaints); coordinating and monitoring the process of outsourcing the Bank’s business processes, functions, and operations; assessing the impact of facts identified as a result of internal investigations and audits conducted by the Security Department on the Bank’s risks and taking appropriate measures in response.</w:t>
      </w:r>
    </w:p>
    <w:p w14:paraId="5C8221C6" w14:textId="77777777" w:rsidR="00BF29A8" w:rsidRPr="002C5554" w:rsidRDefault="00E15939" w:rsidP="00BF29A8">
      <w:pPr>
        <w:ind w:firstLine="567"/>
        <w:jc w:val="both"/>
        <w:textAlignment w:val="baseline"/>
        <w:rPr>
          <w:lang w:val="en-US"/>
        </w:rPr>
      </w:pPr>
      <w:r w:rsidRPr="00BA3739">
        <w:rPr>
          <w:lang w:val="en"/>
        </w:rPr>
        <w:t>The risk management organizational structure aligns with the Bank’s business model, the scale of its operations, and the nature and complexity of its transactions; it minimizes conflicts of interest and distributes risk management responsibilities among collegial bodies and structural units, including: the Bank’s Board of Directors, the Bank’s RICC, other collegial bodies under the Bank’s Board of Directors, the Bank’s Management Board, collegial bodies under the Bank’s Management Board, the CCD, the IAD, the Bank’s structural units providing the second line of defense, and the Bank’s structural units providing the first line of defense.</w:t>
      </w:r>
    </w:p>
    <w:p w14:paraId="07567FC6" w14:textId="77777777" w:rsidR="00BF29A8" w:rsidRPr="002C5554" w:rsidRDefault="00E15939" w:rsidP="00BF29A8">
      <w:pPr>
        <w:ind w:firstLine="567"/>
        <w:jc w:val="both"/>
        <w:textAlignment w:val="baseline"/>
        <w:rPr>
          <w:lang w:val="en-US"/>
        </w:rPr>
      </w:pPr>
      <w:r w:rsidRPr="00BA3739">
        <w:rPr>
          <w:lang w:val="en"/>
        </w:rPr>
        <w:t>The basic principles, responsibilities and procedures for interaction between the Board of Directors of the Bank, the Management Board, the ACB of the Bank and independent structural divisions of the Bank within the framework of the Bank's risk management system are reflected in the relevant internal risk management documents of the Bank.</w:t>
      </w:r>
    </w:p>
    <w:p w14:paraId="1C70966A" w14:textId="77777777" w:rsidR="00BF29A8" w:rsidRPr="002C5554" w:rsidRDefault="00E15939" w:rsidP="00BF29A8">
      <w:pPr>
        <w:ind w:firstLine="567"/>
        <w:jc w:val="both"/>
        <w:textAlignment w:val="baseline"/>
        <w:rPr>
          <w:lang w:val="en-US"/>
        </w:rPr>
      </w:pPr>
      <w:r w:rsidRPr="00BF29A8">
        <w:rPr>
          <w:lang w:val="en"/>
        </w:rPr>
        <w:t>Risk management procedures ensure timely response to new risks, their clear identification and identification of risk owners.  For a holistic and clear understanding of the inherent risks, the Bank annually identifies and evaluates risks, which are reflected in the risk register, risk map, list of significant risks, and risk appetite statement for the coming year, approved by the Board of Directors. Approaches to risk identification, the procedure for risk identification and assessment, the definition of response methods, and monitoring are provided for in internal documents within the framework of the risk management system.</w:t>
      </w:r>
    </w:p>
    <w:p w14:paraId="26471EED" w14:textId="77777777" w:rsidR="00BF29A8" w:rsidRPr="002C5554" w:rsidRDefault="00E15939" w:rsidP="00BF29A8">
      <w:pPr>
        <w:ind w:firstLine="567"/>
        <w:jc w:val="both"/>
        <w:textAlignment w:val="baseline"/>
        <w:rPr>
          <w:lang w:val="en-US"/>
        </w:rPr>
      </w:pPr>
      <w:r w:rsidRPr="00B235C4">
        <w:rPr>
          <w:lang w:val="en"/>
        </w:rPr>
        <w:t>A key factor in the Bank's high risk management culture is the regular informing of authorized collegial bodies of the Bank, including the Board of Directors of the Bank, on issues related to risks, including risk management policies and procedures. The Board of Directors and the RICC of the Bank regularly receive data and reports from the risk management units and other responsible departments on the current level of the Bank's risks, on the levels of risk appetite and risk mitigation mechanisms, if necessary.</w:t>
      </w:r>
    </w:p>
    <w:p w14:paraId="117A2957" w14:textId="77777777" w:rsidR="00BF29A8" w:rsidRPr="002C5554" w:rsidRDefault="00BF29A8" w:rsidP="00BF29A8">
      <w:pPr>
        <w:tabs>
          <w:tab w:val="left" w:pos="3686"/>
        </w:tabs>
        <w:ind w:firstLine="567"/>
        <w:jc w:val="both"/>
        <w:rPr>
          <w:highlight w:val="yellow"/>
          <w:lang w:val="en-US"/>
        </w:rPr>
      </w:pPr>
    </w:p>
    <w:p w14:paraId="1690ADC6" w14:textId="77777777" w:rsidR="002A122F" w:rsidRPr="002C5554" w:rsidRDefault="00E15939">
      <w:pPr>
        <w:spacing w:line="259" w:lineRule="auto"/>
        <w:rPr>
          <w:rFonts w:eastAsiaTheme="minorHAnsi"/>
          <w:lang w:val="en-US"/>
        </w:rPr>
      </w:pPr>
      <w:r w:rsidRPr="002C5554">
        <w:rPr>
          <w:lang w:val="en-US"/>
        </w:rPr>
        <w:br w:type="page"/>
      </w:r>
    </w:p>
    <w:p w14:paraId="47673D20" w14:textId="77777777" w:rsidR="00A83CD2" w:rsidRPr="002C5554" w:rsidRDefault="00E15939" w:rsidP="00A83CD2">
      <w:pPr>
        <w:pStyle w:val="N10"/>
        <w:ind w:left="0" w:firstLine="0"/>
        <w:rPr>
          <w:rFonts w:cs="Times New Roman"/>
          <w:sz w:val="24"/>
          <w:szCs w:val="24"/>
        </w:rPr>
      </w:pPr>
      <w:bookmarkStart w:id="5" w:name="_Toc256000002"/>
      <w:r>
        <w:rPr>
          <w:rFonts w:cs="Times New Roman"/>
          <w:sz w:val="24"/>
          <w:szCs w:val="24"/>
          <w:lang w:val="en"/>
        </w:rPr>
        <w:lastRenderedPageBreak/>
        <w:t>3. Information about the risks</w:t>
      </w:r>
      <w:r w:rsidR="00223683" w:rsidRPr="00223683">
        <w:rPr>
          <w:rStyle w:val="s0"/>
          <w:lang w:val="en"/>
        </w:rPr>
        <w:t xml:space="preserve"> inherent in the Bank's activities, significant risks</w:t>
      </w:r>
      <w:bookmarkEnd w:id="5"/>
    </w:p>
    <w:p w14:paraId="5EA0D74E" w14:textId="77777777" w:rsidR="00701862" w:rsidRDefault="00701862" w:rsidP="00571A36">
      <w:pPr>
        <w:widowControl w:val="0"/>
        <w:suppressLineNumbers/>
        <w:shd w:val="clear" w:color="auto" w:fill="FFFFFF"/>
        <w:suppressAutoHyphens/>
        <w:ind w:firstLine="567"/>
        <w:jc w:val="both"/>
        <w:rPr>
          <w:lang w:val="kk-KZ"/>
        </w:rPr>
      </w:pPr>
    </w:p>
    <w:p w14:paraId="5B70ADA4" w14:textId="77777777" w:rsidR="00571A36" w:rsidRPr="00B235C4" w:rsidRDefault="00E15939" w:rsidP="00571A36">
      <w:pPr>
        <w:widowControl w:val="0"/>
        <w:suppressLineNumbers/>
        <w:shd w:val="clear" w:color="auto" w:fill="FFFFFF"/>
        <w:suppressAutoHyphens/>
        <w:ind w:firstLine="567"/>
        <w:jc w:val="both"/>
        <w:rPr>
          <w:lang w:val="kk-KZ"/>
        </w:rPr>
      </w:pPr>
      <w:r w:rsidRPr="00B235C4">
        <w:rPr>
          <w:lang w:val="en"/>
        </w:rPr>
        <w:t>In accordance with the Risk Management Policy, the Bank continuously identifies, measures, monitors and controls risks at all levels of the Bank's management. At the same time, the improvement of the risk management and internal control system is carried out in accordance with changes in the Bank's risk profile, as well as taking into account changes in the external environment.</w:t>
      </w:r>
    </w:p>
    <w:p w14:paraId="0CC25269" w14:textId="77777777" w:rsidR="00C37C99" w:rsidRPr="00571A36" w:rsidRDefault="00E15939" w:rsidP="00C37C99">
      <w:pPr>
        <w:widowControl w:val="0"/>
        <w:suppressLineNumbers/>
        <w:shd w:val="clear" w:color="auto" w:fill="FFFFFF"/>
        <w:suppressAutoHyphens/>
        <w:ind w:firstLine="567"/>
        <w:jc w:val="both"/>
        <w:rPr>
          <w:lang w:val="kk-KZ"/>
        </w:rPr>
      </w:pPr>
      <w:r>
        <w:rPr>
          <w:lang w:val="en"/>
        </w:rPr>
        <w:t>The following list of risks inherent in the Bank has been identified:</w:t>
      </w:r>
    </w:p>
    <w:p w14:paraId="15E033DB" w14:textId="77777777" w:rsidR="00C37C99" w:rsidRPr="00B235C4" w:rsidRDefault="00E15939" w:rsidP="00C37C99">
      <w:pPr>
        <w:widowControl w:val="0"/>
        <w:suppressLineNumbers/>
        <w:shd w:val="clear" w:color="auto" w:fill="FFFFFF"/>
        <w:suppressAutoHyphens/>
        <w:ind w:firstLine="567"/>
        <w:jc w:val="both"/>
        <w:rPr>
          <w:lang w:val="kk-KZ"/>
        </w:rPr>
      </w:pPr>
      <w:r>
        <w:rPr>
          <w:lang w:val="en"/>
        </w:rPr>
        <w:t>1) Operational risks (OR);</w:t>
      </w:r>
    </w:p>
    <w:p w14:paraId="55320464" w14:textId="77777777" w:rsidR="00C37C99" w:rsidRPr="00571A36" w:rsidRDefault="00E15939" w:rsidP="00C37C99">
      <w:pPr>
        <w:widowControl w:val="0"/>
        <w:suppressLineNumbers/>
        <w:shd w:val="clear" w:color="auto" w:fill="FFFFFF"/>
        <w:suppressAutoHyphens/>
        <w:ind w:firstLine="567"/>
        <w:jc w:val="both"/>
        <w:rPr>
          <w:lang w:val="kk-KZ"/>
        </w:rPr>
      </w:pPr>
      <w:r w:rsidRPr="00571A36">
        <w:rPr>
          <w:lang w:val="en"/>
        </w:rPr>
        <w:t>2) Information security risk (IS);</w:t>
      </w:r>
    </w:p>
    <w:p w14:paraId="7ADF5421" w14:textId="77777777" w:rsidR="00C37C99" w:rsidRPr="00571A36" w:rsidRDefault="00E15939" w:rsidP="00C37C99">
      <w:pPr>
        <w:widowControl w:val="0"/>
        <w:suppressLineNumbers/>
        <w:shd w:val="clear" w:color="auto" w:fill="FFFFFF"/>
        <w:suppressAutoHyphens/>
        <w:ind w:firstLine="567"/>
        <w:jc w:val="both"/>
        <w:rPr>
          <w:lang w:val="kk-KZ"/>
        </w:rPr>
      </w:pPr>
      <w:r w:rsidRPr="00571A36">
        <w:rPr>
          <w:lang w:val="en"/>
        </w:rPr>
        <w:t>3) Information technology (IT) risk;</w:t>
      </w:r>
    </w:p>
    <w:p w14:paraId="64AB7417" w14:textId="77777777" w:rsidR="00C37C99" w:rsidRPr="00571A36" w:rsidRDefault="00E15939" w:rsidP="00C37C99">
      <w:pPr>
        <w:widowControl w:val="0"/>
        <w:suppressLineNumbers/>
        <w:shd w:val="clear" w:color="auto" w:fill="FFFFFF"/>
        <w:suppressAutoHyphens/>
        <w:ind w:firstLine="567"/>
        <w:jc w:val="both"/>
        <w:rPr>
          <w:lang w:val="kk-KZ"/>
        </w:rPr>
      </w:pPr>
      <w:r w:rsidRPr="00571A36">
        <w:rPr>
          <w:lang w:val="en"/>
        </w:rPr>
        <w:t>4) Legal risk (LE);</w:t>
      </w:r>
    </w:p>
    <w:p w14:paraId="20918B2C" w14:textId="77777777" w:rsidR="00C37C99" w:rsidRPr="00571A36" w:rsidRDefault="00E15939" w:rsidP="00C37C99">
      <w:pPr>
        <w:widowControl w:val="0"/>
        <w:suppressLineNumbers/>
        <w:shd w:val="clear" w:color="auto" w:fill="FFFFFF"/>
        <w:suppressAutoHyphens/>
        <w:ind w:firstLine="567"/>
        <w:jc w:val="both"/>
        <w:rPr>
          <w:lang w:val="kk-KZ"/>
        </w:rPr>
      </w:pPr>
      <w:r>
        <w:rPr>
          <w:lang w:val="en"/>
        </w:rPr>
        <w:t>5) Compliance risk (CO);</w:t>
      </w:r>
    </w:p>
    <w:p w14:paraId="0A94D148" w14:textId="77777777" w:rsidR="00C37C99" w:rsidRPr="00571A36" w:rsidRDefault="00E15939" w:rsidP="00C37C99">
      <w:pPr>
        <w:widowControl w:val="0"/>
        <w:suppressLineNumbers/>
        <w:shd w:val="clear" w:color="auto" w:fill="FFFFFF"/>
        <w:suppressAutoHyphens/>
        <w:ind w:firstLine="567"/>
        <w:jc w:val="both"/>
        <w:rPr>
          <w:lang w:val="kk-KZ"/>
        </w:rPr>
      </w:pPr>
      <w:r>
        <w:rPr>
          <w:lang w:val="en"/>
        </w:rPr>
        <w:t>6) Liquidity risk (LQ);</w:t>
      </w:r>
    </w:p>
    <w:p w14:paraId="0A2D76C6" w14:textId="77777777" w:rsidR="00C37C99" w:rsidRPr="00571A36" w:rsidRDefault="00E15939" w:rsidP="00C37C99">
      <w:pPr>
        <w:widowControl w:val="0"/>
        <w:suppressLineNumbers/>
        <w:shd w:val="clear" w:color="auto" w:fill="FFFFFF"/>
        <w:suppressAutoHyphens/>
        <w:ind w:firstLine="567"/>
        <w:jc w:val="both"/>
        <w:rPr>
          <w:lang w:val="kk-KZ"/>
        </w:rPr>
      </w:pPr>
      <w:r>
        <w:rPr>
          <w:lang w:val="en"/>
        </w:rPr>
        <w:t>7) Credit risk (CR);</w:t>
      </w:r>
    </w:p>
    <w:p w14:paraId="0D324593" w14:textId="77777777" w:rsidR="00C37C99" w:rsidRPr="00571A36" w:rsidRDefault="00E15939" w:rsidP="00C37C99">
      <w:pPr>
        <w:widowControl w:val="0"/>
        <w:suppressLineNumbers/>
        <w:shd w:val="clear" w:color="auto" w:fill="FFFFFF"/>
        <w:suppressAutoHyphens/>
        <w:ind w:firstLine="567"/>
        <w:jc w:val="both"/>
        <w:rPr>
          <w:lang w:val="kk-KZ"/>
        </w:rPr>
      </w:pPr>
      <w:r>
        <w:rPr>
          <w:lang w:val="en"/>
        </w:rPr>
        <w:t>8) Market risk (MK);</w:t>
      </w:r>
    </w:p>
    <w:p w14:paraId="5CA3E25B" w14:textId="77777777" w:rsidR="00C37C99" w:rsidRPr="00571A36" w:rsidRDefault="00E15939" w:rsidP="00C37C99">
      <w:pPr>
        <w:widowControl w:val="0"/>
        <w:suppressLineNumbers/>
        <w:shd w:val="clear" w:color="auto" w:fill="FFFFFF"/>
        <w:suppressAutoHyphens/>
        <w:ind w:firstLine="567"/>
        <w:jc w:val="both"/>
        <w:rPr>
          <w:lang w:val="kk-KZ"/>
        </w:rPr>
      </w:pPr>
      <w:r w:rsidRPr="00571A36">
        <w:rPr>
          <w:lang w:val="en"/>
        </w:rPr>
        <w:t>9) Tax risk (TA);</w:t>
      </w:r>
    </w:p>
    <w:p w14:paraId="162FA19E" w14:textId="77777777" w:rsidR="00C37C99" w:rsidRPr="00571A36" w:rsidRDefault="00E15939" w:rsidP="00C37C99">
      <w:pPr>
        <w:widowControl w:val="0"/>
        <w:suppressLineNumbers/>
        <w:shd w:val="clear" w:color="auto" w:fill="FFFFFF"/>
        <w:suppressAutoHyphens/>
        <w:ind w:firstLine="567"/>
        <w:jc w:val="both"/>
        <w:rPr>
          <w:lang w:val="kk-KZ"/>
        </w:rPr>
      </w:pPr>
      <w:r w:rsidRPr="00571A36">
        <w:rPr>
          <w:lang w:val="en"/>
        </w:rPr>
        <w:t>10) Strategic risks (ST);</w:t>
      </w:r>
    </w:p>
    <w:p w14:paraId="3C57D4BC" w14:textId="77777777" w:rsidR="00C37C99" w:rsidRPr="00571A36" w:rsidRDefault="00E15939" w:rsidP="00C37C99">
      <w:pPr>
        <w:widowControl w:val="0"/>
        <w:suppressLineNumbers/>
        <w:shd w:val="clear" w:color="auto" w:fill="FFFFFF"/>
        <w:suppressAutoHyphens/>
        <w:ind w:firstLine="567"/>
        <w:jc w:val="both"/>
        <w:rPr>
          <w:lang w:val="kk-KZ"/>
        </w:rPr>
      </w:pPr>
      <w:r>
        <w:rPr>
          <w:lang w:val="en"/>
        </w:rPr>
        <w:t>11) Reputational risk (RE);</w:t>
      </w:r>
    </w:p>
    <w:p w14:paraId="1088FBD4" w14:textId="77777777" w:rsidR="00C37C99" w:rsidRPr="00571A36" w:rsidRDefault="00E15939" w:rsidP="00C37C99">
      <w:pPr>
        <w:widowControl w:val="0"/>
        <w:suppressLineNumbers/>
        <w:shd w:val="clear" w:color="auto" w:fill="FFFFFF"/>
        <w:suppressAutoHyphens/>
        <w:ind w:firstLine="567"/>
        <w:jc w:val="both"/>
        <w:rPr>
          <w:lang w:val="kk-KZ"/>
        </w:rPr>
      </w:pPr>
      <w:r w:rsidRPr="00571A36">
        <w:rPr>
          <w:lang w:val="en"/>
        </w:rPr>
        <w:t>12) ESG risks (ESG-CG, ESG-ER, ESG-SR);</w:t>
      </w:r>
    </w:p>
    <w:p w14:paraId="7231AB16" w14:textId="77777777" w:rsidR="00C37C99" w:rsidRPr="00571A36" w:rsidRDefault="00E15939" w:rsidP="00C37C99">
      <w:pPr>
        <w:widowControl w:val="0"/>
        <w:suppressLineNumbers/>
        <w:shd w:val="clear" w:color="auto" w:fill="FFFFFF"/>
        <w:suppressAutoHyphens/>
        <w:ind w:firstLine="567"/>
        <w:jc w:val="both"/>
        <w:rPr>
          <w:lang w:val="kk-KZ"/>
        </w:rPr>
      </w:pPr>
      <w:r w:rsidRPr="00571A36">
        <w:rPr>
          <w:lang w:val="en"/>
        </w:rPr>
        <w:t>13) risks of corruption and fraud (CF);</w:t>
      </w:r>
    </w:p>
    <w:p w14:paraId="767D583C" w14:textId="77777777" w:rsidR="00C37C99" w:rsidRPr="00571A36" w:rsidRDefault="00E15939" w:rsidP="00C37C99">
      <w:pPr>
        <w:widowControl w:val="0"/>
        <w:suppressLineNumbers/>
        <w:shd w:val="clear" w:color="auto" w:fill="FFFFFF"/>
        <w:suppressAutoHyphens/>
        <w:ind w:firstLine="567"/>
        <w:jc w:val="both"/>
        <w:rPr>
          <w:lang w:val="kk-KZ"/>
        </w:rPr>
      </w:pPr>
      <w:r w:rsidRPr="00571A36">
        <w:rPr>
          <w:lang w:val="en"/>
        </w:rPr>
        <w:t>14) Internal control risks (IC);</w:t>
      </w:r>
    </w:p>
    <w:p w14:paraId="41AEEFB5" w14:textId="77777777" w:rsidR="00C37C99" w:rsidRPr="00571A36" w:rsidRDefault="00E15939" w:rsidP="00C37C99">
      <w:pPr>
        <w:widowControl w:val="0"/>
        <w:suppressLineNumbers/>
        <w:shd w:val="clear" w:color="auto" w:fill="FFFFFF"/>
        <w:suppressAutoHyphens/>
        <w:ind w:firstLine="567"/>
        <w:jc w:val="both"/>
        <w:rPr>
          <w:lang w:val="kk-KZ"/>
        </w:rPr>
      </w:pPr>
      <w:r w:rsidRPr="00571A36">
        <w:rPr>
          <w:lang w:val="en"/>
        </w:rPr>
        <w:t>15) risks of human resources management (HR);</w:t>
      </w:r>
    </w:p>
    <w:p w14:paraId="6F2EBA9C" w14:textId="77777777" w:rsidR="00C37C99" w:rsidRPr="00571A36" w:rsidRDefault="00E15939" w:rsidP="00C37C99">
      <w:pPr>
        <w:widowControl w:val="0"/>
        <w:suppressLineNumbers/>
        <w:shd w:val="clear" w:color="auto" w:fill="FFFFFF"/>
        <w:suppressAutoHyphens/>
        <w:ind w:firstLine="567"/>
        <w:jc w:val="both"/>
        <w:rPr>
          <w:lang w:val="kk-KZ"/>
        </w:rPr>
      </w:pPr>
      <w:r>
        <w:rPr>
          <w:lang w:val="en"/>
        </w:rPr>
        <w:t>16) Audit risks (AU).</w:t>
      </w:r>
    </w:p>
    <w:p w14:paraId="6EB9D3ED" w14:textId="77777777" w:rsidR="00571A36" w:rsidRPr="00B235C4" w:rsidRDefault="00E15939" w:rsidP="00571A36">
      <w:pPr>
        <w:widowControl w:val="0"/>
        <w:suppressLineNumbers/>
        <w:shd w:val="clear" w:color="auto" w:fill="FFFFFF"/>
        <w:tabs>
          <w:tab w:val="left" w:pos="851"/>
        </w:tabs>
        <w:suppressAutoHyphens/>
        <w:ind w:firstLine="567"/>
        <w:jc w:val="both"/>
        <w:rPr>
          <w:lang w:val="kk-KZ"/>
        </w:rPr>
      </w:pPr>
      <w:r w:rsidRPr="00B235C4">
        <w:rPr>
          <w:lang w:val="en"/>
        </w:rPr>
        <w:t>The Bank determines significant risks based on an assessment of the risks inherent in the Bank's activities (including risks related to on-balance sheet and off-balance sheet transactions, by groups, portfolios, and individual types of business unit activities), which are identified and measured using both quantitative and qualitative parameters.</w:t>
      </w:r>
    </w:p>
    <w:p w14:paraId="6A04229B" w14:textId="77777777" w:rsidR="00571A36" w:rsidRPr="00B235C4" w:rsidRDefault="00E15939" w:rsidP="00571A36">
      <w:pPr>
        <w:widowControl w:val="0"/>
        <w:suppressLineNumbers/>
        <w:shd w:val="clear" w:color="auto" w:fill="FFFFFF"/>
        <w:tabs>
          <w:tab w:val="left" w:pos="851"/>
        </w:tabs>
        <w:suppressAutoHyphens/>
        <w:ind w:firstLine="567"/>
        <w:jc w:val="both"/>
        <w:rPr>
          <w:lang w:val="kk-KZ"/>
        </w:rPr>
      </w:pPr>
      <w:r w:rsidRPr="00B235C4">
        <w:rPr>
          <w:lang w:val="en"/>
        </w:rPr>
        <w:t>The criteria for determining the materiality of risks, the implementation of which will lead to a deterioration in the financial stability of the Bank, are the impact of risks on:</w:t>
      </w:r>
    </w:p>
    <w:p w14:paraId="3BB089B9" w14:textId="77777777" w:rsidR="00571A36" w:rsidRPr="00571A36" w:rsidRDefault="00E15939" w:rsidP="00881954">
      <w:pPr>
        <w:pStyle w:val="aa"/>
        <w:numPr>
          <w:ilvl w:val="0"/>
          <w:numId w:val="34"/>
        </w:numPr>
        <w:tabs>
          <w:tab w:val="left" w:pos="3686"/>
        </w:tabs>
        <w:ind w:left="1134" w:hanging="567"/>
        <w:jc w:val="both"/>
        <w:rPr>
          <w:rFonts w:ascii="Times New Roman" w:hAnsi="Times New Roman" w:cs="Times New Roman"/>
          <w:sz w:val="24"/>
          <w:szCs w:val="24"/>
        </w:rPr>
      </w:pPr>
      <w:r w:rsidRPr="00571A36">
        <w:rPr>
          <w:rFonts w:ascii="Times New Roman" w:hAnsi="Times New Roman" w:cs="Times New Roman"/>
          <w:sz w:val="24"/>
          <w:szCs w:val="24"/>
          <w:lang w:val="en"/>
        </w:rPr>
        <w:t>Bank's capital;</w:t>
      </w:r>
    </w:p>
    <w:p w14:paraId="7EA049E2" w14:textId="77777777" w:rsidR="00571A36" w:rsidRPr="00571A36" w:rsidRDefault="00E15939" w:rsidP="00881954">
      <w:pPr>
        <w:pStyle w:val="aa"/>
        <w:numPr>
          <w:ilvl w:val="0"/>
          <w:numId w:val="34"/>
        </w:numPr>
        <w:tabs>
          <w:tab w:val="left" w:pos="3686"/>
        </w:tabs>
        <w:ind w:left="1134" w:hanging="567"/>
        <w:jc w:val="both"/>
        <w:rPr>
          <w:rFonts w:ascii="Times New Roman" w:hAnsi="Times New Roman" w:cs="Times New Roman"/>
          <w:sz w:val="24"/>
          <w:szCs w:val="24"/>
        </w:rPr>
      </w:pPr>
      <w:r w:rsidRPr="00571A36">
        <w:rPr>
          <w:rFonts w:ascii="Times New Roman" w:hAnsi="Times New Roman" w:cs="Times New Roman"/>
          <w:sz w:val="24"/>
          <w:szCs w:val="24"/>
          <w:lang w:val="en"/>
        </w:rPr>
        <w:t>Bank's profitability;</w:t>
      </w:r>
    </w:p>
    <w:p w14:paraId="663F4E79" w14:textId="77777777" w:rsidR="00571A36" w:rsidRPr="00571A36" w:rsidRDefault="00E15939" w:rsidP="00881954">
      <w:pPr>
        <w:pStyle w:val="aa"/>
        <w:numPr>
          <w:ilvl w:val="0"/>
          <w:numId w:val="34"/>
        </w:numPr>
        <w:tabs>
          <w:tab w:val="left" w:pos="3686"/>
        </w:tabs>
        <w:ind w:left="1134" w:hanging="567"/>
        <w:jc w:val="both"/>
        <w:rPr>
          <w:rFonts w:ascii="Times New Roman" w:hAnsi="Times New Roman" w:cs="Times New Roman"/>
          <w:sz w:val="24"/>
          <w:szCs w:val="24"/>
        </w:rPr>
      </w:pPr>
      <w:r w:rsidRPr="00571A36">
        <w:rPr>
          <w:rFonts w:ascii="Times New Roman" w:hAnsi="Times New Roman" w:cs="Times New Roman"/>
          <w:sz w:val="24"/>
          <w:szCs w:val="24"/>
          <w:lang w:val="en"/>
        </w:rPr>
        <w:t>Bank's liquidity;</w:t>
      </w:r>
    </w:p>
    <w:p w14:paraId="25B25D0A" w14:textId="77777777" w:rsidR="00571A36" w:rsidRPr="00571A36" w:rsidRDefault="00E15939" w:rsidP="00881954">
      <w:pPr>
        <w:pStyle w:val="aa"/>
        <w:numPr>
          <w:ilvl w:val="0"/>
          <w:numId w:val="34"/>
        </w:numPr>
        <w:tabs>
          <w:tab w:val="left" w:pos="3686"/>
        </w:tabs>
        <w:ind w:left="1134" w:hanging="567"/>
        <w:jc w:val="both"/>
        <w:rPr>
          <w:rFonts w:ascii="Times New Roman" w:hAnsi="Times New Roman" w:cs="Times New Roman"/>
          <w:sz w:val="24"/>
          <w:szCs w:val="24"/>
        </w:rPr>
      </w:pPr>
      <w:r w:rsidRPr="00571A36">
        <w:rPr>
          <w:rFonts w:ascii="Times New Roman" w:hAnsi="Times New Roman" w:cs="Times New Roman"/>
          <w:sz w:val="24"/>
          <w:szCs w:val="24"/>
          <w:lang w:val="en"/>
        </w:rPr>
        <w:t>Bank's reputation;</w:t>
      </w:r>
    </w:p>
    <w:p w14:paraId="46A7FD62" w14:textId="77777777" w:rsidR="00571A36" w:rsidRPr="00571A36" w:rsidRDefault="00E15939" w:rsidP="00881954">
      <w:pPr>
        <w:pStyle w:val="aa"/>
        <w:numPr>
          <w:ilvl w:val="0"/>
          <w:numId w:val="34"/>
        </w:numPr>
        <w:tabs>
          <w:tab w:val="left" w:pos="3686"/>
        </w:tabs>
        <w:ind w:left="1134" w:hanging="567"/>
        <w:jc w:val="both"/>
        <w:rPr>
          <w:rFonts w:ascii="Times New Roman" w:hAnsi="Times New Roman" w:cs="Times New Roman"/>
          <w:sz w:val="24"/>
          <w:szCs w:val="24"/>
        </w:rPr>
      </w:pPr>
      <w:r w:rsidRPr="00571A36">
        <w:rPr>
          <w:rFonts w:ascii="Times New Roman" w:hAnsi="Times New Roman" w:cs="Times New Roman"/>
          <w:sz w:val="24"/>
          <w:szCs w:val="24"/>
          <w:lang w:val="en"/>
        </w:rPr>
        <w:t>compliance with regulatory requirements.</w:t>
      </w:r>
    </w:p>
    <w:p w14:paraId="35B06DA5" w14:textId="77777777" w:rsidR="00C37C99" w:rsidRPr="002C5554" w:rsidRDefault="00E15939" w:rsidP="00397B38">
      <w:pPr>
        <w:widowControl w:val="0"/>
        <w:suppressLineNumbers/>
        <w:shd w:val="clear" w:color="auto" w:fill="FFFFFF"/>
        <w:tabs>
          <w:tab w:val="left" w:pos="851"/>
        </w:tabs>
        <w:suppressAutoHyphens/>
        <w:ind w:firstLine="567"/>
        <w:jc w:val="both"/>
        <w:rPr>
          <w:lang w:val="en-US"/>
        </w:rPr>
      </w:pPr>
      <w:r>
        <w:rPr>
          <w:lang w:val="en"/>
        </w:rPr>
        <w:t>Based on the results of the risk assessment, the following risks of the Bank were recognized as significant:</w:t>
      </w:r>
    </w:p>
    <w:p w14:paraId="4C6B3300" w14:textId="77777777" w:rsidR="00031D97" w:rsidRPr="00B235C4" w:rsidRDefault="00E15939" w:rsidP="00031D97">
      <w:pPr>
        <w:widowControl w:val="0"/>
        <w:suppressLineNumbers/>
        <w:shd w:val="clear" w:color="auto" w:fill="FFFFFF"/>
        <w:suppressAutoHyphens/>
        <w:ind w:firstLine="567"/>
        <w:jc w:val="both"/>
        <w:rPr>
          <w:lang w:val="kk-KZ"/>
        </w:rPr>
      </w:pPr>
      <w:r>
        <w:rPr>
          <w:lang w:val="en"/>
        </w:rPr>
        <w:t>1) Operational risks (OR);</w:t>
      </w:r>
    </w:p>
    <w:p w14:paraId="47905B98" w14:textId="77777777" w:rsidR="00031D97" w:rsidRPr="00571A36" w:rsidRDefault="00E15939" w:rsidP="00031D97">
      <w:pPr>
        <w:widowControl w:val="0"/>
        <w:suppressLineNumbers/>
        <w:shd w:val="clear" w:color="auto" w:fill="FFFFFF"/>
        <w:suppressAutoHyphens/>
        <w:ind w:firstLine="567"/>
        <w:jc w:val="both"/>
        <w:rPr>
          <w:lang w:val="kk-KZ"/>
        </w:rPr>
      </w:pPr>
      <w:r w:rsidRPr="00571A36">
        <w:rPr>
          <w:lang w:val="en"/>
        </w:rPr>
        <w:t>2) Information security risk (IS);</w:t>
      </w:r>
    </w:p>
    <w:p w14:paraId="0816B2D5" w14:textId="77777777" w:rsidR="00031D97" w:rsidRPr="00571A36" w:rsidRDefault="00E15939" w:rsidP="00031D97">
      <w:pPr>
        <w:widowControl w:val="0"/>
        <w:suppressLineNumbers/>
        <w:shd w:val="clear" w:color="auto" w:fill="FFFFFF"/>
        <w:suppressAutoHyphens/>
        <w:ind w:firstLine="567"/>
        <w:jc w:val="both"/>
        <w:rPr>
          <w:lang w:val="kk-KZ"/>
        </w:rPr>
      </w:pPr>
      <w:r w:rsidRPr="00571A36">
        <w:rPr>
          <w:lang w:val="en"/>
        </w:rPr>
        <w:t>3) Information technology (IT) risk;</w:t>
      </w:r>
    </w:p>
    <w:p w14:paraId="69D75C55" w14:textId="77777777" w:rsidR="00031D97" w:rsidRPr="00571A36" w:rsidRDefault="00E15939" w:rsidP="00031D97">
      <w:pPr>
        <w:widowControl w:val="0"/>
        <w:suppressLineNumbers/>
        <w:shd w:val="clear" w:color="auto" w:fill="FFFFFF"/>
        <w:suppressAutoHyphens/>
        <w:ind w:firstLine="567"/>
        <w:jc w:val="both"/>
        <w:rPr>
          <w:lang w:val="kk-KZ"/>
        </w:rPr>
      </w:pPr>
      <w:r w:rsidRPr="002F0F8F">
        <w:rPr>
          <w:lang w:val="en"/>
        </w:rPr>
        <w:t>4) Compliance risk (CO);</w:t>
      </w:r>
    </w:p>
    <w:p w14:paraId="05FE299C" w14:textId="77777777" w:rsidR="00031D97" w:rsidRPr="00571A36" w:rsidRDefault="00E15939" w:rsidP="00031D97">
      <w:pPr>
        <w:widowControl w:val="0"/>
        <w:suppressLineNumbers/>
        <w:shd w:val="clear" w:color="auto" w:fill="FFFFFF"/>
        <w:suppressAutoHyphens/>
        <w:ind w:firstLine="567"/>
        <w:jc w:val="both"/>
        <w:rPr>
          <w:lang w:val="kk-KZ"/>
        </w:rPr>
      </w:pPr>
      <w:r w:rsidRPr="002F0F8F">
        <w:rPr>
          <w:lang w:val="en"/>
        </w:rPr>
        <w:t>5) Liquidity risk (LQ);</w:t>
      </w:r>
    </w:p>
    <w:p w14:paraId="028EFB66" w14:textId="77777777" w:rsidR="00031D97" w:rsidRPr="00571A36" w:rsidRDefault="00E15939" w:rsidP="00031D97">
      <w:pPr>
        <w:widowControl w:val="0"/>
        <w:suppressLineNumbers/>
        <w:shd w:val="clear" w:color="auto" w:fill="FFFFFF"/>
        <w:suppressAutoHyphens/>
        <w:ind w:firstLine="567"/>
        <w:jc w:val="both"/>
        <w:rPr>
          <w:lang w:val="kk-KZ"/>
        </w:rPr>
      </w:pPr>
      <w:r w:rsidRPr="002F0F8F">
        <w:rPr>
          <w:lang w:val="en"/>
        </w:rPr>
        <w:t>6) Credit risk (CR);</w:t>
      </w:r>
    </w:p>
    <w:p w14:paraId="424F3499" w14:textId="77777777" w:rsidR="00031D97" w:rsidRPr="00571A36" w:rsidRDefault="00E15939" w:rsidP="00031D97">
      <w:pPr>
        <w:widowControl w:val="0"/>
        <w:suppressLineNumbers/>
        <w:shd w:val="clear" w:color="auto" w:fill="FFFFFF"/>
        <w:suppressAutoHyphens/>
        <w:ind w:firstLine="567"/>
        <w:jc w:val="both"/>
        <w:rPr>
          <w:lang w:val="kk-KZ"/>
        </w:rPr>
      </w:pPr>
      <w:r w:rsidRPr="002F0F8F">
        <w:rPr>
          <w:lang w:val="en"/>
        </w:rPr>
        <w:t>7) Market risk (MK);</w:t>
      </w:r>
    </w:p>
    <w:p w14:paraId="73A1A26E" w14:textId="77777777" w:rsidR="00031D97" w:rsidRPr="00571A36" w:rsidRDefault="00E15939" w:rsidP="00031D97">
      <w:pPr>
        <w:widowControl w:val="0"/>
        <w:suppressLineNumbers/>
        <w:shd w:val="clear" w:color="auto" w:fill="FFFFFF"/>
        <w:suppressAutoHyphens/>
        <w:ind w:firstLine="567"/>
        <w:jc w:val="both"/>
        <w:rPr>
          <w:lang w:val="kk-KZ"/>
        </w:rPr>
      </w:pPr>
      <w:r w:rsidRPr="002F0F8F">
        <w:rPr>
          <w:lang w:val="en"/>
        </w:rPr>
        <w:t>8) Strategic risks (ST);</w:t>
      </w:r>
    </w:p>
    <w:p w14:paraId="1AE1466E" w14:textId="77777777" w:rsidR="00A83CD2" w:rsidRPr="002C5554" w:rsidRDefault="00555382" w:rsidP="00657757">
      <w:pPr>
        <w:spacing w:line="259" w:lineRule="auto"/>
        <w:rPr>
          <w:b/>
          <w:bCs/>
          <w:lang w:val="en-US"/>
        </w:rPr>
      </w:pPr>
      <w:r w:rsidRPr="00E675BD">
        <w:rPr>
          <w:b/>
          <w:bCs/>
          <w:lang w:val="en"/>
        </w:rPr>
        <w:br w:type="page"/>
      </w:r>
      <w:r w:rsidRPr="00E675BD">
        <w:rPr>
          <w:b/>
          <w:bCs/>
          <w:lang w:val="en"/>
        </w:rPr>
        <w:lastRenderedPageBreak/>
        <w:t>4. Procedure for determining the Bank's risk appetite</w:t>
      </w:r>
    </w:p>
    <w:p w14:paraId="4F57B62A" w14:textId="77777777" w:rsidR="00701862" w:rsidRPr="002C5554" w:rsidRDefault="00701862" w:rsidP="008A4246">
      <w:pPr>
        <w:widowControl w:val="0"/>
        <w:suppressLineNumbers/>
        <w:shd w:val="clear" w:color="auto" w:fill="FFFFFF"/>
        <w:tabs>
          <w:tab w:val="left" w:pos="851"/>
        </w:tabs>
        <w:suppressAutoHyphens/>
        <w:ind w:firstLine="567"/>
        <w:jc w:val="both"/>
        <w:rPr>
          <w:lang w:val="en-US"/>
        </w:rPr>
      </w:pPr>
    </w:p>
    <w:p w14:paraId="72F438AE" w14:textId="77777777" w:rsidR="008A4246" w:rsidRPr="002C5554" w:rsidRDefault="00E15939" w:rsidP="008A4246">
      <w:pPr>
        <w:widowControl w:val="0"/>
        <w:suppressLineNumbers/>
        <w:shd w:val="clear" w:color="auto" w:fill="FFFFFF"/>
        <w:tabs>
          <w:tab w:val="left" w:pos="851"/>
        </w:tabs>
        <w:suppressAutoHyphens/>
        <w:ind w:firstLine="567"/>
        <w:jc w:val="both"/>
        <w:rPr>
          <w:lang w:val="en-US"/>
        </w:rPr>
      </w:pPr>
      <w:r w:rsidRPr="00F70CEA">
        <w:rPr>
          <w:lang w:val="en"/>
        </w:rPr>
        <w:t xml:space="preserve">The Bank has developed and approved by the Bank's Board of Directors a Risk Appetite Strategy for the Bank, which defines clear boundaries for the amount of risks inherent in the Bank's activities as part of the Bank's overall strategy, and defines the risk profile of the Bank's activities in order to prevent the implementation of risks or minimize their negative impact on the Bank's financial position. </w:t>
      </w:r>
    </w:p>
    <w:p w14:paraId="1E2F59BC" w14:textId="77777777" w:rsidR="00717075" w:rsidRPr="002C5554" w:rsidRDefault="00E15939" w:rsidP="00717075">
      <w:pPr>
        <w:widowControl w:val="0"/>
        <w:suppressLineNumbers/>
        <w:shd w:val="clear" w:color="auto" w:fill="FFFFFF"/>
        <w:tabs>
          <w:tab w:val="left" w:pos="851"/>
        </w:tabs>
        <w:suppressAutoHyphens/>
        <w:ind w:firstLine="567"/>
        <w:jc w:val="both"/>
        <w:rPr>
          <w:lang w:val="en-US"/>
        </w:rPr>
      </w:pPr>
      <w:r w:rsidRPr="00717075">
        <w:rPr>
          <w:lang w:val="en"/>
        </w:rPr>
        <w:t>The Bank's Risk appetite strategy is aimed at ensuring an optimal balance between the fulfillment of the Bank's strategic objectives, the profitability of the Bank's main activities and the level of risks accepted by the Bank, at introducing a risk culture at all levels of the Bank's organizational structure, as well as at spreading the practice of observing risk appetite levels within the risk culture.</w:t>
      </w:r>
    </w:p>
    <w:p w14:paraId="199231C7" w14:textId="77777777" w:rsidR="00717075" w:rsidRPr="002C5554" w:rsidRDefault="00E15939" w:rsidP="00717075">
      <w:pPr>
        <w:widowControl w:val="0"/>
        <w:suppressLineNumbers/>
        <w:shd w:val="clear" w:color="auto" w:fill="FFFFFF"/>
        <w:tabs>
          <w:tab w:val="left" w:pos="851"/>
        </w:tabs>
        <w:suppressAutoHyphens/>
        <w:ind w:firstLine="567"/>
        <w:jc w:val="both"/>
        <w:rPr>
          <w:lang w:val="en-US"/>
        </w:rPr>
      </w:pPr>
      <w:r w:rsidRPr="00717075">
        <w:rPr>
          <w:lang w:val="en"/>
        </w:rPr>
        <w:t>The Risk appetite strategy provides protection against the Bank taking excessive risks when making decisions in the course of the Bank's activities. The Risk appetite strategy is the basis for the formation of the Bank's Risk Appetite Statement.</w:t>
      </w:r>
    </w:p>
    <w:p w14:paraId="188C66C7" w14:textId="77777777" w:rsidR="00CD1937" w:rsidRPr="00B235C4" w:rsidRDefault="00E15939" w:rsidP="008A4246">
      <w:pPr>
        <w:widowControl w:val="0"/>
        <w:suppressLineNumbers/>
        <w:shd w:val="clear" w:color="auto" w:fill="FFFFFF"/>
        <w:tabs>
          <w:tab w:val="left" w:pos="851"/>
        </w:tabs>
        <w:suppressAutoHyphens/>
        <w:ind w:firstLine="567"/>
        <w:jc w:val="both"/>
        <w:rPr>
          <w:lang w:val="kk-KZ" w:eastAsia="ru-RU"/>
        </w:rPr>
      </w:pPr>
      <w:r w:rsidRPr="00B235C4">
        <w:rPr>
          <w:lang w:val="en" w:eastAsia="ru-RU"/>
        </w:rPr>
        <w:t>As part of the Risk Appetite Strategy, the Bank's Board of Directors forms a Risk Appetite Statement that contains aggregated levels of significant risks (limits on the acceptable amount of risk) that the Bank is ready to accept or intends to eliminate when implementing the strategy. The applied risk appetite levels for significant types of risk are clearly defined, relevant and measurable, and are developed taking into account forecast indicators for the Bank's key financial indicators. The risk appetite statement contains a statement of a qualitative nature, as well as a quantitative one, including indicators regarding profitability, capital, liquidity, risks, and other applicable indicators. When determining risk appetite, the Bank evaluates the acceptability of the established risk appetite in the current time period and how acceptable it will be in the future through stress testing (scenario analysis and sensitivity analysis).</w:t>
      </w:r>
    </w:p>
    <w:p w14:paraId="5D4F9EB5" w14:textId="77777777" w:rsidR="00717075" w:rsidRPr="000510CA" w:rsidRDefault="00E15939" w:rsidP="00717075">
      <w:pPr>
        <w:widowControl w:val="0"/>
        <w:suppressLineNumbers/>
        <w:shd w:val="clear" w:color="auto" w:fill="FFFFFF"/>
        <w:tabs>
          <w:tab w:val="left" w:pos="851"/>
        </w:tabs>
        <w:suppressAutoHyphens/>
        <w:ind w:firstLine="567"/>
        <w:jc w:val="both"/>
        <w:rPr>
          <w:lang w:val="kk-KZ" w:eastAsia="ru-RU"/>
        </w:rPr>
      </w:pPr>
      <w:r w:rsidRPr="000510CA">
        <w:rPr>
          <w:lang w:val="en" w:eastAsia="ru-RU"/>
        </w:rPr>
        <w:t>Aggregated levels of risk appetite are established and reviewed by the Board of Directors of the Bank on a periodic basis, but at least once a year. Risk appetite levels for certain types of risk are reviewed throughout the year when the market situation changes and/or the requirements of the authorized body change, but within the framework of the aggregated risk appetite level. Risk appetite levels and aggregated risk appetite levels for significant risks are calculated on a periodic basis, but at least once a year.</w:t>
      </w:r>
    </w:p>
    <w:p w14:paraId="52886B5B" w14:textId="77777777" w:rsidR="00717075" w:rsidRPr="00717075" w:rsidRDefault="00E15939" w:rsidP="00717075">
      <w:pPr>
        <w:widowControl w:val="0"/>
        <w:suppressLineNumbers/>
        <w:shd w:val="clear" w:color="auto" w:fill="FFFFFF"/>
        <w:tabs>
          <w:tab w:val="left" w:pos="851"/>
        </w:tabs>
        <w:suppressAutoHyphens/>
        <w:ind w:firstLine="567"/>
        <w:jc w:val="both"/>
        <w:rPr>
          <w:lang w:val="kk-KZ" w:eastAsia="ru-RU"/>
        </w:rPr>
      </w:pPr>
      <w:r w:rsidRPr="00717075">
        <w:rPr>
          <w:lang w:val="en" w:eastAsia="ru-RU"/>
        </w:rPr>
        <w:t>Collegial bodies/divisions of the Bank involved in calculating and determining the aggregated levels of the Bank's risk appetite:</w:t>
      </w:r>
    </w:p>
    <w:p w14:paraId="568B6796" w14:textId="77777777" w:rsidR="00717075" w:rsidRPr="0027245E" w:rsidRDefault="00E15939" w:rsidP="00717075">
      <w:pPr>
        <w:widowControl w:val="0"/>
        <w:suppressLineNumbers/>
        <w:shd w:val="clear" w:color="auto" w:fill="FFFFFF"/>
        <w:tabs>
          <w:tab w:val="left" w:pos="851"/>
        </w:tabs>
        <w:suppressAutoHyphens/>
        <w:ind w:firstLine="567"/>
        <w:jc w:val="both"/>
        <w:rPr>
          <w:b/>
          <w:lang w:val="kk-KZ" w:eastAsia="ru-RU"/>
        </w:rPr>
      </w:pPr>
      <w:r w:rsidRPr="0027245E">
        <w:rPr>
          <w:b/>
          <w:lang w:val="en" w:eastAsia="ru-RU"/>
        </w:rPr>
        <w:t>Board of Directors of the Bank:</w:t>
      </w:r>
    </w:p>
    <w:p w14:paraId="3D11C40D" w14:textId="77777777" w:rsidR="005C6C1F" w:rsidRPr="005C6C1F" w:rsidRDefault="00E15939" w:rsidP="00881954">
      <w:pPr>
        <w:pStyle w:val="aa"/>
        <w:widowControl w:val="0"/>
        <w:numPr>
          <w:ilvl w:val="0"/>
          <w:numId w:val="35"/>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5C6C1F">
        <w:rPr>
          <w:rFonts w:ascii="Times New Roman" w:hAnsi="Times New Roman" w:cs="Times New Roman"/>
          <w:sz w:val="24"/>
          <w:lang w:val="en" w:eastAsia="ru-RU"/>
        </w:rPr>
        <w:t>Approves the Bank's Risk Appetite Strategy;</w:t>
      </w:r>
    </w:p>
    <w:p w14:paraId="6D9B0967" w14:textId="77777777" w:rsidR="005C6C1F" w:rsidRPr="005C6C1F" w:rsidRDefault="00E15939" w:rsidP="00881954">
      <w:pPr>
        <w:pStyle w:val="aa"/>
        <w:widowControl w:val="0"/>
        <w:numPr>
          <w:ilvl w:val="0"/>
          <w:numId w:val="35"/>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5C6C1F">
        <w:rPr>
          <w:rFonts w:ascii="Times New Roman" w:hAnsi="Times New Roman" w:cs="Times New Roman"/>
          <w:sz w:val="24"/>
          <w:lang w:val="en" w:eastAsia="ru-RU"/>
        </w:rPr>
        <w:t>Approves the aggregated levels of the Bank's risk appetite within the framework of the Risk Appetite Statement;</w:t>
      </w:r>
    </w:p>
    <w:p w14:paraId="6FC496B9" w14:textId="77777777" w:rsidR="005C6C1F" w:rsidRPr="005C6C1F" w:rsidRDefault="00E15939" w:rsidP="00881954">
      <w:pPr>
        <w:pStyle w:val="aa"/>
        <w:widowControl w:val="0"/>
        <w:numPr>
          <w:ilvl w:val="0"/>
          <w:numId w:val="35"/>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5C6C1F">
        <w:rPr>
          <w:rFonts w:ascii="Times New Roman" w:hAnsi="Times New Roman" w:cs="Times New Roman"/>
          <w:sz w:val="24"/>
          <w:lang w:val="en" w:eastAsia="ru-RU"/>
        </w:rPr>
        <w:t>Monitors compliance with the Risk Appetite Strategy and risk appetite levels.</w:t>
      </w:r>
    </w:p>
    <w:p w14:paraId="63D71D08" w14:textId="77777777" w:rsidR="00717075" w:rsidRPr="000510CA" w:rsidRDefault="00E15939" w:rsidP="00717075">
      <w:pPr>
        <w:widowControl w:val="0"/>
        <w:suppressLineNumbers/>
        <w:shd w:val="clear" w:color="auto" w:fill="FFFFFF"/>
        <w:tabs>
          <w:tab w:val="left" w:pos="851"/>
        </w:tabs>
        <w:suppressAutoHyphens/>
        <w:ind w:firstLine="567"/>
        <w:jc w:val="both"/>
        <w:rPr>
          <w:lang w:val="kk-KZ" w:eastAsia="ru-RU"/>
        </w:rPr>
      </w:pPr>
      <w:r w:rsidRPr="00717075">
        <w:rPr>
          <w:lang w:val="en" w:eastAsia="ru-RU"/>
        </w:rPr>
        <w:t xml:space="preserve">The Board of Directors of the Bank reviews information on the actual values of risk appetite levels and their execution at least 1 (one) time per quarter. The Board of Directors of the Bank takes note of the information on the levels of risk appetite, evaluates the adequacy of the measures proposed by the Management Board, and, if necessary, may recommend taking other measures to minimize risks. </w:t>
      </w:r>
    </w:p>
    <w:p w14:paraId="4E81B66A" w14:textId="77777777" w:rsidR="00717075" w:rsidRPr="0027245E" w:rsidRDefault="00E15939" w:rsidP="00717075">
      <w:pPr>
        <w:widowControl w:val="0"/>
        <w:suppressLineNumbers/>
        <w:shd w:val="clear" w:color="auto" w:fill="FFFFFF"/>
        <w:tabs>
          <w:tab w:val="left" w:pos="851"/>
        </w:tabs>
        <w:suppressAutoHyphens/>
        <w:ind w:firstLine="567"/>
        <w:jc w:val="both"/>
        <w:rPr>
          <w:b/>
          <w:lang w:val="kk-KZ" w:eastAsia="ru-RU"/>
        </w:rPr>
      </w:pPr>
      <w:r w:rsidRPr="0027245E">
        <w:rPr>
          <w:b/>
          <w:lang w:val="en" w:eastAsia="ru-RU"/>
        </w:rPr>
        <w:t xml:space="preserve">RICC of the Bank: </w:t>
      </w:r>
    </w:p>
    <w:p w14:paraId="613FD9AC" w14:textId="77777777" w:rsidR="005C6C1F" w:rsidRPr="0027245E" w:rsidRDefault="00E15939" w:rsidP="00881954">
      <w:pPr>
        <w:pStyle w:val="aa"/>
        <w:widowControl w:val="0"/>
        <w:numPr>
          <w:ilvl w:val="0"/>
          <w:numId w:val="36"/>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27245E">
        <w:rPr>
          <w:rFonts w:ascii="Times New Roman" w:hAnsi="Times New Roman" w:cs="Times New Roman"/>
          <w:sz w:val="24"/>
          <w:lang w:val="en" w:eastAsia="ru-RU"/>
        </w:rPr>
        <w:t>ensures the development of a Risk Appetite Strategy;</w:t>
      </w:r>
    </w:p>
    <w:p w14:paraId="698E7B2A" w14:textId="77777777" w:rsidR="005C6C1F" w:rsidRPr="0027245E" w:rsidRDefault="00E15939" w:rsidP="00881954">
      <w:pPr>
        <w:pStyle w:val="aa"/>
        <w:widowControl w:val="0"/>
        <w:numPr>
          <w:ilvl w:val="0"/>
          <w:numId w:val="36"/>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27245E">
        <w:rPr>
          <w:rFonts w:ascii="Times New Roman" w:hAnsi="Times New Roman" w:cs="Times New Roman"/>
          <w:sz w:val="24"/>
          <w:lang w:val="en" w:eastAsia="ru-RU"/>
        </w:rPr>
        <w:t>determines the size of the aggregated levels of the Bank's risk appetite and risk appetite levels for each significant type of risk for further approval by the Board of Directors of the Bank;</w:t>
      </w:r>
    </w:p>
    <w:p w14:paraId="1A17F8BD" w14:textId="77777777" w:rsidR="00717075" w:rsidRPr="0027245E" w:rsidRDefault="00E15939" w:rsidP="00881954">
      <w:pPr>
        <w:pStyle w:val="aa"/>
        <w:widowControl w:val="0"/>
        <w:numPr>
          <w:ilvl w:val="0"/>
          <w:numId w:val="36"/>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27245E">
        <w:rPr>
          <w:rFonts w:ascii="Times New Roman" w:hAnsi="Times New Roman" w:cs="Times New Roman"/>
          <w:sz w:val="24"/>
          <w:lang w:val="en" w:eastAsia="ru-RU"/>
        </w:rPr>
        <w:t>examines information about the actual values of risk appetite levels and their performance.</w:t>
      </w:r>
    </w:p>
    <w:p w14:paraId="24AE3584" w14:textId="77777777" w:rsidR="00717075" w:rsidRPr="00717075" w:rsidRDefault="00E15939" w:rsidP="00717075">
      <w:pPr>
        <w:widowControl w:val="0"/>
        <w:suppressLineNumbers/>
        <w:shd w:val="clear" w:color="auto" w:fill="FFFFFF"/>
        <w:tabs>
          <w:tab w:val="left" w:pos="851"/>
        </w:tabs>
        <w:suppressAutoHyphens/>
        <w:ind w:firstLine="567"/>
        <w:jc w:val="both"/>
        <w:rPr>
          <w:lang w:val="kk-KZ" w:eastAsia="ru-RU"/>
        </w:rPr>
      </w:pPr>
      <w:r w:rsidRPr="00717075">
        <w:rPr>
          <w:lang w:val="en" w:eastAsia="ru-RU"/>
        </w:rPr>
        <w:t xml:space="preserve">RICC of the Bank receives information on the actual values of risk appetite levels and their performance at least once a quarter. </w:t>
      </w:r>
    </w:p>
    <w:p w14:paraId="4A47CE09" w14:textId="77777777" w:rsidR="00717075" w:rsidRPr="0027245E" w:rsidRDefault="00E15939" w:rsidP="00717075">
      <w:pPr>
        <w:widowControl w:val="0"/>
        <w:suppressLineNumbers/>
        <w:shd w:val="clear" w:color="auto" w:fill="FFFFFF"/>
        <w:tabs>
          <w:tab w:val="left" w:pos="851"/>
        </w:tabs>
        <w:suppressAutoHyphens/>
        <w:ind w:firstLine="567"/>
        <w:jc w:val="both"/>
        <w:rPr>
          <w:b/>
          <w:lang w:val="kk-KZ" w:eastAsia="ru-RU"/>
        </w:rPr>
      </w:pPr>
      <w:r w:rsidRPr="0027245E">
        <w:rPr>
          <w:b/>
          <w:lang w:val="en" w:eastAsia="ru-RU"/>
        </w:rPr>
        <w:t>The Management Board of the Bank:</w:t>
      </w:r>
    </w:p>
    <w:p w14:paraId="3FB81B3E" w14:textId="77777777" w:rsidR="0027245E" w:rsidRPr="0027245E" w:rsidRDefault="00E15939" w:rsidP="00881954">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en" w:eastAsia="ru-RU"/>
        </w:rPr>
        <w:t xml:space="preserve">approves the Bank's Risk Appetite Strategy in advance; </w:t>
      </w:r>
    </w:p>
    <w:p w14:paraId="14F9E98D" w14:textId="77777777" w:rsidR="00717075" w:rsidRPr="0027245E" w:rsidRDefault="00E15939" w:rsidP="00881954">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en" w:eastAsia="ru-RU"/>
        </w:rPr>
        <w:lastRenderedPageBreak/>
        <w:t>implements measures to determine (calculate) the aggregated level of the Bank's risk appetite;</w:t>
      </w:r>
    </w:p>
    <w:p w14:paraId="52817966" w14:textId="77777777" w:rsidR="00717075" w:rsidRPr="0027245E" w:rsidRDefault="00E15939" w:rsidP="00881954">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en" w:eastAsia="ru-RU"/>
        </w:rPr>
        <w:t>pre-approves the Bank's aggregated risk appetite levels as part of the Risk Appetite Statement;</w:t>
      </w:r>
    </w:p>
    <w:p w14:paraId="4C1B1A37" w14:textId="77777777" w:rsidR="00717075" w:rsidRPr="0027245E" w:rsidRDefault="00E15939" w:rsidP="00881954">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en" w:eastAsia="ru-RU"/>
        </w:rPr>
        <w:t xml:space="preserve">Based on the results of determining (calculating) the aggregated level of risk appetite, the Bank provides a report to the Bank's RICC for consideration and recommendations by the Bank's Board of Directors; </w:t>
      </w:r>
    </w:p>
    <w:p w14:paraId="46C999DB" w14:textId="77777777" w:rsidR="00717075" w:rsidRPr="0027245E" w:rsidRDefault="00E15939" w:rsidP="00881954">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en" w:eastAsia="ru-RU"/>
        </w:rPr>
        <w:t>Approves risk limits within the aggregated risk appetite levels approved by the Board of Directors of the Bank;</w:t>
      </w:r>
    </w:p>
    <w:p w14:paraId="3F203349" w14:textId="77777777" w:rsidR="00717075" w:rsidRPr="0027245E" w:rsidRDefault="00E15939" w:rsidP="00881954">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en" w:eastAsia="ru-RU"/>
        </w:rPr>
        <w:t>determines the Bank's intentions to change the capital level, taking into account the aggregated level of risk appetite and the Bank's Strategy.</w:t>
      </w:r>
    </w:p>
    <w:p w14:paraId="515C515C" w14:textId="77777777" w:rsidR="00717075" w:rsidRPr="0027245E" w:rsidRDefault="00E15939" w:rsidP="00717075">
      <w:pPr>
        <w:widowControl w:val="0"/>
        <w:suppressLineNumbers/>
        <w:shd w:val="clear" w:color="auto" w:fill="FFFFFF"/>
        <w:tabs>
          <w:tab w:val="left" w:pos="851"/>
        </w:tabs>
        <w:suppressAutoHyphens/>
        <w:ind w:firstLine="567"/>
        <w:jc w:val="both"/>
        <w:rPr>
          <w:b/>
          <w:lang w:val="kk-KZ" w:eastAsia="ru-RU"/>
        </w:rPr>
      </w:pPr>
      <w:r w:rsidRPr="0027245E">
        <w:rPr>
          <w:b/>
          <w:lang w:val="en" w:eastAsia="ru-RU"/>
        </w:rPr>
        <w:t>RC of the Bank:</w:t>
      </w:r>
    </w:p>
    <w:p w14:paraId="5DAA0818" w14:textId="77777777" w:rsidR="00717075" w:rsidRPr="00717075" w:rsidRDefault="00E15939" w:rsidP="00717075">
      <w:pPr>
        <w:widowControl w:val="0"/>
        <w:suppressLineNumbers/>
        <w:shd w:val="clear" w:color="auto" w:fill="FFFFFF"/>
        <w:tabs>
          <w:tab w:val="left" w:pos="851"/>
        </w:tabs>
        <w:suppressAutoHyphens/>
        <w:ind w:firstLine="567"/>
        <w:jc w:val="both"/>
        <w:rPr>
          <w:lang w:val="kk-KZ" w:eastAsia="ru-RU"/>
        </w:rPr>
      </w:pPr>
      <w:r w:rsidRPr="00717075">
        <w:rPr>
          <w:lang w:val="en" w:eastAsia="ru-RU"/>
        </w:rPr>
        <w:t>1) considers information about the actual values of risk appetite levels and their performance;</w:t>
      </w:r>
    </w:p>
    <w:p w14:paraId="5F055A1B" w14:textId="77777777" w:rsidR="00717075" w:rsidRPr="00717075" w:rsidRDefault="00E15939" w:rsidP="00717075">
      <w:pPr>
        <w:widowControl w:val="0"/>
        <w:suppressLineNumbers/>
        <w:shd w:val="clear" w:color="auto" w:fill="FFFFFF"/>
        <w:tabs>
          <w:tab w:val="left" w:pos="851"/>
        </w:tabs>
        <w:suppressAutoHyphens/>
        <w:ind w:firstLine="567"/>
        <w:jc w:val="both"/>
        <w:rPr>
          <w:lang w:val="kk-KZ" w:eastAsia="ru-RU"/>
        </w:rPr>
      </w:pPr>
      <w:r w:rsidRPr="00717075">
        <w:rPr>
          <w:lang w:val="en" w:eastAsia="ru-RU"/>
        </w:rPr>
        <w:t>2) pre-approves aggregated risk appetite levels.</w:t>
      </w:r>
    </w:p>
    <w:p w14:paraId="6B5EB265" w14:textId="77777777" w:rsidR="00717075" w:rsidRPr="00717075" w:rsidRDefault="00E15939" w:rsidP="00717075">
      <w:pPr>
        <w:widowControl w:val="0"/>
        <w:suppressLineNumbers/>
        <w:shd w:val="clear" w:color="auto" w:fill="FFFFFF"/>
        <w:tabs>
          <w:tab w:val="left" w:pos="851"/>
        </w:tabs>
        <w:suppressAutoHyphens/>
        <w:ind w:firstLine="567"/>
        <w:jc w:val="both"/>
        <w:rPr>
          <w:lang w:val="kk-KZ" w:eastAsia="ru-RU"/>
        </w:rPr>
      </w:pPr>
      <w:r w:rsidRPr="00717075">
        <w:rPr>
          <w:lang w:val="en" w:eastAsia="ru-RU"/>
        </w:rPr>
        <w:t xml:space="preserve">Business owners, within the framework of their business lines, assess risks, including the criteria of materiality, and after determining the risk of materiality, they develop an internal document on the development of quantitative and qualitative parameters, as well as Statements of risk appetite for significant risk. Business risk owners responsible for calculating and monitoring risk appetite levels develop methods for calculating risk appetite levels in the form of quantitative and (or) qualitative indicators. </w:t>
      </w:r>
    </w:p>
    <w:p w14:paraId="2AEEBECF" w14:textId="77777777" w:rsidR="00717075" w:rsidRPr="002C5554" w:rsidRDefault="00717075" w:rsidP="00CD1937">
      <w:pPr>
        <w:ind w:firstLine="709"/>
        <w:jc w:val="both"/>
        <w:rPr>
          <w:color w:val="2F5496" w:themeColor="accent5" w:themeShade="BF"/>
          <w:lang w:val="en-US"/>
        </w:rPr>
      </w:pPr>
    </w:p>
    <w:p w14:paraId="241AD741" w14:textId="77777777" w:rsidR="00CD1937" w:rsidRPr="00B235C4" w:rsidRDefault="00E15939" w:rsidP="0027245E">
      <w:pPr>
        <w:widowControl w:val="0"/>
        <w:suppressLineNumbers/>
        <w:shd w:val="clear" w:color="auto" w:fill="FFFFFF"/>
        <w:tabs>
          <w:tab w:val="left" w:pos="851"/>
        </w:tabs>
        <w:suppressAutoHyphens/>
        <w:ind w:firstLine="567"/>
        <w:jc w:val="both"/>
        <w:rPr>
          <w:lang w:val="kk-KZ" w:eastAsia="ru-RU"/>
        </w:rPr>
      </w:pPr>
      <w:r w:rsidRPr="00B235C4">
        <w:rPr>
          <w:lang w:val="en" w:eastAsia="ru-RU"/>
        </w:rPr>
        <w:t>The Bank's risk appetite levels for significant risks include the following risk limits:</w:t>
      </w:r>
    </w:p>
    <w:p w14:paraId="34C09A1A" w14:textId="77777777" w:rsidR="00CD1937" w:rsidRPr="00B235C4" w:rsidRDefault="00E15939" w:rsidP="00881954">
      <w:pPr>
        <w:pStyle w:val="aa"/>
        <w:numPr>
          <w:ilvl w:val="0"/>
          <w:numId w:val="31"/>
        </w:numPr>
        <w:tabs>
          <w:tab w:val="left" w:pos="851"/>
        </w:tabs>
        <w:spacing w:after="200" w:line="276" w:lineRule="auto"/>
        <w:ind w:left="0" w:firstLine="567"/>
        <w:jc w:val="both"/>
        <w:rPr>
          <w:rFonts w:ascii="Times New Roman" w:hAnsi="Times New Roman" w:cs="Times New Roman"/>
          <w:sz w:val="24"/>
          <w:szCs w:val="24"/>
          <w:lang w:val="kk-KZ"/>
        </w:rPr>
      </w:pPr>
      <w:r w:rsidRPr="00B235C4">
        <w:rPr>
          <w:rFonts w:ascii="Times New Roman" w:hAnsi="Times New Roman" w:cs="Times New Roman"/>
          <w:sz w:val="24"/>
          <w:szCs w:val="24"/>
          <w:lang w:val="en"/>
        </w:rPr>
        <w:t xml:space="preserve"> a level that does not require corrective measures. The Bank considers risk appetite levels to be in the "green zone" of the Risk Appetite Statement;</w:t>
      </w:r>
    </w:p>
    <w:p w14:paraId="5BE4A7D8" w14:textId="77777777" w:rsidR="00CD1937" w:rsidRPr="00B235C4" w:rsidRDefault="00E15939" w:rsidP="00881954">
      <w:pPr>
        <w:pStyle w:val="aa"/>
        <w:numPr>
          <w:ilvl w:val="0"/>
          <w:numId w:val="31"/>
        </w:numPr>
        <w:tabs>
          <w:tab w:val="left" w:pos="851"/>
        </w:tabs>
        <w:spacing w:after="200" w:line="276" w:lineRule="auto"/>
        <w:ind w:left="0" w:firstLine="567"/>
        <w:jc w:val="both"/>
        <w:rPr>
          <w:rFonts w:ascii="Times New Roman" w:hAnsi="Times New Roman" w:cs="Times New Roman"/>
          <w:sz w:val="24"/>
          <w:szCs w:val="24"/>
          <w:lang w:val="kk-KZ"/>
        </w:rPr>
      </w:pPr>
      <w:r w:rsidRPr="00B235C4">
        <w:rPr>
          <w:rFonts w:ascii="Times New Roman" w:hAnsi="Times New Roman" w:cs="Times New Roman"/>
          <w:sz w:val="24"/>
          <w:szCs w:val="24"/>
          <w:lang w:val="en"/>
        </w:rPr>
        <w:t xml:space="preserve"> a level defined as acceptable, but requiring separate corrective measures in the current risk management system procedures in order to reduce the level of risk. The Bank considers risk appetite levels to be in the "yellow zone" of the Risk Appetite Statement;</w:t>
      </w:r>
    </w:p>
    <w:p w14:paraId="6E07DF7C" w14:textId="77777777" w:rsidR="00CD1937" w:rsidRPr="00B235C4" w:rsidRDefault="00E15939" w:rsidP="00881954">
      <w:pPr>
        <w:pStyle w:val="aa"/>
        <w:numPr>
          <w:ilvl w:val="0"/>
          <w:numId w:val="31"/>
        </w:numPr>
        <w:tabs>
          <w:tab w:val="left" w:pos="851"/>
        </w:tabs>
        <w:spacing w:line="276" w:lineRule="auto"/>
        <w:ind w:left="0" w:firstLine="567"/>
        <w:jc w:val="both"/>
        <w:rPr>
          <w:rFonts w:ascii="Times New Roman" w:hAnsi="Times New Roman" w:cs="Times New Roman"/>
          <w:sz w:val="24"/>
          <w:szCs w:val="24"/>
          <w:lang w:val="kk-KZ"/>
        </w:rPr>
      </w:pPr>
      <w:r w:rsidRPr="00B235C4">
        <w:rPr>
          <w:rFonts w:ascii="Times New Roman" w:hAnsi="Times New Roman" w:cs="Times New Roman"/>
          <w:sz w:val="24"/>
          <w:szCs w:val="24"/>
          <w:lang w:val="en"/>
        </w:rPr>
        <w:t xml:space="preserve"> a level defined as high, requiring the application of appropriate measures to prevent deterioration of the Bank's financial stability and solvency. The Bank considers risk appetite levels to be at this level, which are in the "red zone" of the Risk appetite Statement.</w:t>
      </w:r>
    </w:p>
    <w:p w14:paraId="3F1585F8" w14:textId="77777777" w:rsidR="00CD1937" w:rsidRPr="00B235C4" w:rsidRDefault="00E15939" w:rsidP="0027245E">
      <w:pPr>
        <w:widowControl w:val="0"/>
        <w:suppressLineNumbers/>
        <w:shd w:val="clear" w:color="auto" w:fill="FFFFFF"/>
        <w:tabs>
          <w:tab w:val="left" w:pos="851"/>
        </w:tabs>
        <w:suppressAutoHyphens/>
        <w:ind w:firstLine="567"/>
        <w:jc w:val="both"/>
        <w:rPr>
          <w:lang w:val="kk-KZ" w:eastAsia="ru-RU"/>
        </w:rPr>
      </w:pPr>
      <w:r w:rsidRPr="00881954">
        <w:rPr>
          <w:lang w:val="en" w:eastAsia="ru-RU"/>
        </w:rPr>
        <w:t>The risk appetite strategy defines the procedure for achieving and/or violating the limits of risk appetite levels:</w:t>
      </w:r>
    </w:p>
    <w:p w14:paraId="37C1408E" w14:textId="77777777" w:rsidR="00CD1937" w:rsidRPr="00B235C4" w:rsidRDefault="00E15939" w:rsidP="00881954">
      <w:pPr>
        <w:numPr>
          <w:ilvl w:val="0"/>
          <w:numId w:val="30"/>
        </w:numPr>
        <w:tabs>
          <w:tab w:val="left" w:pos="431"/>
          <w:tab w:val="left" w:pos="709"/>
        </w:tabs>
        <w:autoSpaceDE w:val="0"/>
        <w:ind w:left="0" w:firstLine="567"/>
        <w:jc w:val="both"/>
        <w:rPr>
          <w:lang w:val="kk-KZ"/>
        </w:rPr>
      </w:pPr>
      <w:r w:rsidRPr="00B235C4">
        <w:rPr>
          <w:lang w:val="en"/>
        </w:rPr>
        <w:t>upon reaching a level that does not require the use of corrective measures ("green zone"), this information is reflected by the business owners of risks responsible for monitoring and calculating risk appetite levels in the risk appetite monitoring report and is brought to the attention of the RC, the Management Board, the RICC and the Board of Directors of the Bank as part of the management reporting;</w:t>
      </w:r>
    </w:p>
    <w:p w14:paraId="0BD649AD" w14:textId="77777777" w:rsidR="00CD1937" w:rsidRPr="00B235C4" w:rsidRDefault="00E15939" w:rsidP="00881954">
      <w:pPr>
        <w:numPr>
          <w:ilvl w:val="0"/>
          <w:numId w:val="30"/>
        </w:numPr>
        <w:tabs>
          <w:tab w:val="left" w:pos="431"/>
          <w:tab w:val="left" w:pos="709"/>
        </w:tabs>
        <w:autoSpaceDE w:val="0"/>
        <w:ind w:left="0" w:firstLine="567"/>
        <w:jc w:val="both"/>
        <w:rPr>
          <w:lang w:val="kk-KZ"/>
        </w:rPr>
      </w:pPr>
      <w:r w:rsidRPr="00B235C4">
        <w:rPr>
          <w:lang w:val="en"/>
        </w:rPr>
        <w:t xml:space="preserve">upon reaching the level defined as acceptable, but requiring separate corrective measures in the current procedures of the risk management system in order to reduce the level of risk ("yellow zone"), this information is reflected by the business owners of risks responsible for monitoring and calculating risk appetite levels in the risk appetite monitoring report and brought to information to the RC, the Management Board, the RICC and the Board of Directors of the Bank as part of the provision of management reports. </w:t>
      </w:r>
    </w:p>
    <w:p w14:paraId="36D52D44" w14:textId="77777777" w:rsidR="00CD1937" w:rsidRPr="00B235C4" w:rsidRDefault="00E15939" w:rsidP="0027245E">
      <w:pPr>
        <w:tabs>
          <w:tab w:val="left" w:pos="431"/>
          <w:tab w:val="left" w:pos="709"/>
        </w:tabs>
        <w:ind w:firstLine="567"/>
        <w:jc w:val="both"/>
        <w:rPr>
          <w:lang w:val="kk-KZ"/>
        </w:rPr>
      </w:pPr>
      <w:r w:rsidRPr="00B235C4">
        <w:rPr>
          <w:lang w:val="en"/>
        </w:rPr>
        <w:t>At the same time, the Management Board performs the following actions:</w:t>
      </w:r>
    </w:p>
    <w:p w14:paraId="2B36651E" w14:textId="77777777" w:rsidR="00CD1937" w:rsidRPr="00B235C4" w:rsidRDefault="00E15939" w:rsidP="0027245E">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en" w:eastAsia="ru-RU"/>
        </w:rPr>
        <w:t>(a) develop, if necessary, the necessary measures to implement corrective measures at this level;</w:t>
      </w:r>
    </w:p>
    <w:p w14:paraId="60D1FA73" w14:textId="77777777" w:rsidR="00CD1937" w:rsidRPr="00B235C4" w:rsidRDefault="00E15939" w:rsidP="0027245E">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en" w:eastAsia="ru-RU"/>
        </w:rPr>
        <w:t>b) appoints responsible departments for the timely execution of measures determined by the Management Board;</w:t>
      </w:r>
    </w:p>
    <w:p w14:paraId="728203B6" w14:textId="77777777" w:rsidR="00CD1937" w:rsidRPr="00B235C4" w:rsidRDefault="00E15939" w:rsidP="0027245E">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en" w:eastAsia="ru-RU"/>
        </w:rPr>
        <w:t>c) determines the deadline for the execution of measures by the responsible departments of the Bank in order to implement corrective measures;</w:t>
      </w:r>
    </w:p>
    <w:p w14:paraId="00D55994" w14:textId="77777777" w:rsidR="00CD1937" w:rsidRPr="00B235C4" w:rsidRDefault="00E15939" w:rsidP="0027245E">
      <w:pPr>
        <w:pStyle w:val="aa"/>
        <w:tabs>
          <w:tab w:val="left" w:pos="709"/>
        </w:tabs>
        <w:spacing w:line="240" w:lineRule="auto"/>
        <w:ind w:left="0" w:firstLine="567"/>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en" w:eastAsia="ru-RU"/>
        </w:rPr>
        <w:lastRenderedPageBreak/>
        <w:t>d) the timely execution of measures is monitored.</w:t>
      </w:r>
    </w:p>
    <w:p w14:paraId="13DA2B01" w14:textId="77777777" w:rsidR="00CD1937" w:rsidRPr="00B235C4" w:rsidRDefault="00E15939" w:rsidP="00881954">
      <w:pPr>
        <w:numPr>
          <w:ilvl w:val="0"/>
          <w:numId w:val="30"/>
        </w:numPr>
        <w:tabs>
          <w:tab w:val="left" w:pos="431"/>
          <w:tab w:val="left" w:pos="709"/>
        </w:tabs>
        <w:autoSpaceDE w:val="0"/>
        <w:ind w:left="0" w:firstLine="567"/>
        <w:jc w:val="both"/>
        <w:rPr>
          <w:lang w:val="kk-KZ"/>
        </w:rPr>
      </w:pPr>
      <w:r w:rsidRPr="00B235C4">
        <w:rPr>
          <w:lang w:val="en"/>
        </w:rPr>
        <w:t>When a level defined as high is reached and/or violated, requiring appropriate measures to prevent deterioration of the Bank's financial stability and solvency ("red zone"), this information is reflected in the risk appetite monitoring report and communicated by the business risk owners responsible for monitoring and calculating risk appetite levels., to the attention of the RC, the Management Board, the RICC and the Board of Directors of the Bank as part of the provision of management reports.</w:t>
      </w:r>
    </w:p>
    <w:p w14:paraId="33B08D99" w14:textId="77777777" w:rsidR="00CD1937" w:rsidRPr="00B235C4" w:rsidRDefault="00E15939" w:rsidP="0027245E">
      <w:pPr>
        <w:tabs>
          <w:tab w:val="left" w:pos="431"/>
          <w:tab w:val="left" w:pos="709"/>
        </w:tabs>
        <w:ind w:firstLine="567"/>
        <w:jc w:val="both"/>
        <w:rPr>
          <w:lang w:val="kk-KZ"/>
        </w:rPr>
      </w:pPr>
      <w:r w:rsidRPr="00B235C4">
        <w:rPr>
          <w:lang w:val="en"/>
        </w:rPr>
        <w:t>At the same time, the Management Board performs the following actions:</w:t>
      </w:r>
    </w:p>
    <w:p w14:paraId="1734E975" w14:textId="77777777" w:rsidR="00CD1937" w:rsidRPr="00B235C4" w:rsidRDefault="00E15939" w:rsidP="0027245E">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en" w:eastAsia="ru-RU"/>
        </w:rPr>
        <w:t>(a) develops the necessary measures for the implementation of corrective measures at this level;</w:t>
      </w:r>
    </w:p>
    <w:p w14:paraId="63ECF88B" w14:textId="77777777" w:rsidR="00CD1937" w:rsidRPr="00B235C4" w:rsidRDefault="00E15939" w:rsidP="0027245E">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en" w:eastAsia="ru-RU"/>
        </w:rPr>
        <w:t>b) appoints responsible departments for the timely execution of measures determined by the Management Board;</w:t>
      </w:r>
    </w:p>
    <w:p w14:paraId="1507D62F" w14:textId="77777777" w:rsidR="00CD1937" w:rsidRPr="00B235C4" w:rsidRDefault="00E15939" w:rsidP="0027245E">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en" w:eastAsia="ru-RU"/>
        </w:rPr>
        <w:t>c) determines the deadline for the execution of measures by the responsible departments of the Bank in order to implement corrective measures;</w:t>
      </w:r>
    </w:p>
    <w:p w14:paraId="68B09799" w14:textId="77777777" w:rsidR="00CD1937" w:rsidRPr="00B235C4" w:rsidRDefault="00E15939" w:rsidP="0027245E">
      <w:pPr>
        <w:pStyle w:val="aa"/>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en" w:eastAsia="ru-RU"/>
        </w:rPr>
        <w:t>d) the timely execution of measures is monitored;</w:t>
      </w:r>
    </w:p>
    <w:p w14:paraId="59B4B035" w14:textId="77777777" w:rsidR="00CD1937" w:rsidRPr="00B235C4" w:rsidRDefault="00E15939" w:rsidP="0027245E">
      <w:pPr>
        <w:pStyle w:val="aa"/>
        <w:spacing w:line="240" w:lineRule="auto"/>
        <w:ind w:left="0" w:firstLine="567"/>
        <w:contextualSpacing w:val="0"/>
        <w:jc w:val="both"/>
        <w:rPr>
          <w:rFonts w:ascii="Times New Roman" w:eastAsia="Times New Roman" w:hAnsi="Times New Roman" w:cs="Times New Roman"/>
          <w:sz w:val="24"/>
          <w:szCs w:val="24"/>
          <w:lang w:val="kk-KZ" w:eastAsia="ru-RU"/>
        </w:rPr>
      </w:pPr>
      <w:r w:rsidRPr="00FB0F53">
        <w:rPr>
          <w:rFonts w:ascii="Times New Roman" w:eastAsia="Times New Roman" w:hAnsi="Times New Roman" w:cs="Times New Roman"/>
          <w:sz w:val="24"/>
          <w:szCs w:val="24"/>
          <w:lang w:val="en" w:eastAsia="ru-RU"/>
        </w:rPr>
        <w:t>e) promptly informs the Board of Directors of the Bank about the achievement of the risk appetite level, defined as high, and about the measures taken to reduce it.</w:t>
      </w:r>
    </w:p>
    <w:p w14:paraId="03D8C31D" w14:textId="77777777" w:rsidR="00CD1937" w:rsidRPr="00B235C4" w:rsidRDefault="00CD1937" w:rsidP="0027245E">
      <w:pPr>
        <w:ind w:firstLine="567"/>
        <w:jc w:val="both"/>
        <w:rPr>
          <w:rFonts w:eastAsiaTheme="minorHAnsi"/>
          <w:lang w:val="kk-KZ"/>
        </w:rPr>
      </w:pPr>
    </w:p>
    <w:p w14:paraId="2DC1EB8E" w14:textId="77777777" w:rsidR="00C97AE6" w:rsidRPr="00B235C4" w:rsidRDefault="00E15939" w:rsidP="00C97AE6">
      <w:pPr>
        <w:widowControl w:val="0"/>
        <w:suppressLineNumbers/>
        <w:shd w:val="clear" w:color="auto" w:fill="FFFFFF"/>
        <w:tabs>
          <w:tab w:val="left" w:pos="851"/>
        </w:tabs>
        <w:suppressAutoHyphens/>
        <w:ind w:firstLine="567"/>
        <w:jc w:val="both"/>
        <w:rPr>
          <w:lang w:val="kk-KZ" w:eastAsia="ru-RU"/>
        </w:rPr>
      </w:pPr>
      <w:r w:rsidRPr="00B235C4">
        <w:rPr>
          <w:lang w:val="en" w:eastAsia="ru-RU"/>
        </w:rPr>
        <w:t xml:space="preserve">Monitoring of compliance with risk appetite levels in accordance with the Bank's Risk Appetite Statement is carried out on a periodic basis, information on the results of which is sent to the Bank's authorized bodies, including the Bank's Board of Directors, as part of the management risk reporting. </w:t>
      </w:r>
    </w:p>
    <w:p w14:paraId="03766D06" w14:textId="77777777" w:rsidR="00C97AE6" w:rsidRDefault="00E15939" w:rsidP="00BC1E57">
      <w:pPr>
        <w:widowControl w:val="0"/>
        <w:suppressLineNumbers/>
        <w:shd w:val="clear" w:color="auto" w:fill="FFFFFF"/>
        <w:tabs>
          <w:tab w:val="left" w:pos="851"/>
        </w:tabs>
        <w:suppressAutoHyphens/>
        <w:ind w:firstLine="567"/>
        <w:jc w:val="both"/>
        <w:rPr>
          <w:lang w:val="kk-KZ"/>
        </w:rPr>
      </w:pPr>
      <w:r>
        <w:rPr>
          <w:lang w:val="en" w:eastAsia="ru-RU"/>
        </w:rPr>
        <w:t>The main risks affecting the Bank's capital include credit, market (currency and interest rate risks) and operational risks. Information on the aggregated levels of risk appetite (quantitative and qualitative indicators) for these risks, their actual values based on the results of the reporting period, as well as their impact on the Bank's equity adequacy is disclosed in the Bank's Annual Report for the relevant reporting period on the Bank's external Internet resource.</w:t>
      </w:r>
    </w:p>
    <w:p w14:paraId="714128C3" w14:textId="77777777" w:rsidR="005731BB" w:rsidRPr="002C5554" w:rsidRDefault="00E15939">
      <w:pPr>
        <w:spacing w:line="259" w:lineRule="auto"/>
        <w:rPr>
          <w:lang w:val="en-US" w:eastAsia="ru-RU"/>
        </w:rPr>
      </w:pPr>
      <w:r w:rsidRPr="002C5554">
        <w:rPr>
          <w:lang w:val="en-US" w:eastAsia="ru-RU"/>
        </w:rPr>
        <w:br w:type="page"/>
      </w:r>
    </w:p>
    <w:p w14:paraId="6BC5B9C6" w14:textId="77777777" w:rsidR="00A83CD2" w:rsidRPr="002C5554" w:rsidRDefault="00E15939" w:rsidP="00A83CD2">
      <w:pPr>
        <w:pStyle w:val="N10"/>
        <w:ind w:left="0" w:firstLine="0"/>
        <w:rPr>
          <w:rFonts w:cs="Times New Roman"/>
          <w:sz w:val="24"/>
          <w:szCs w:val="24"/>
        </w:rPr>
      </w:pPr>
      <w:bookmarkStart w:id="6" w:name="_Toc256000003"/>
      <w:r w:rsidRPr="005B2ADB">
        <w:rPr>
          <w:rFonts w:cs="Times New Roman"/>
          <w:sz w:val="24"/>
          <w:szCs w:val="24"/>
          <w:lang w:val="en"/>
        </w:rPr>
        <w:lastRenderedPageBreak/>
        <w:t>5. The procedure for risk assessment in the framework of capital adequacy assessment</w:t>
      </w:r>
      <w:bookmarkEnd w:id="6"/>
    </w:p>
    <w:p w14:paraId="1B74C15D" w14:textId="77777777" w:rsidR="00555382" w:rsidRPr="002C5554" w:rsidRDefault="00555382" w:rsidP="00555382">
      <w:pPr>
        <w:ind w:firstLine="709"/>
        <w:jc w:val="both"/>
        <w:rPr>
          <w:lang w:val="en-US"/>
        </w:rPr>
      </w:pPr>
    </w:p>
    <w:p w14:paraId="692ADDEE" w14:textId="77777777" w:rsidR="00207DDF" w:rsidRPr="002C5554" w:rsidRDefault="00E15939" w:rsidP="00207DDF">
      <w:pPr>
        <w:widowControl w:val="0"/>
        <w:suppressLineNumbers/>
        <w:shd w:val="clear" w:color="auto" w:fill="FFFFFF"/>
        <w:tabs>
          <w:tab w:val="left" w:pos="851"/>
        </w:tabs>
        <w:suppressAutoHyphens/>
        <w:ind w:firstLine="567"/>
        <w:jc w:val="both"/>
        <w:rPr>
          <w:szCs w:val="22"/>
          <w:lang w:val="en-US"/>
        </w:rPr>
      </w:pPr>
      <w:r w:rsidRPr="00B35F8C">
        <w:rPr>
          <w:szCs w:val="22"/>
          <w:lang w:val="en"/>
        </w:rPr>
        <w:t>The Bank's risk management system is a set of components that provides a mechanism for interaction between internal procedures, processes, policies, and structural divisions of the Bank developed and regulated by the Bank in order to identify, measure, control, and monitor the Bank's risks in a timely manner, as well as minimize them to ensure its financial stability and stable functioning.</w:t>
      </w:r>
    </w:p>
    <w:p w14:paraId="2C90E8CD" w14:textId="77777777" w:rsidR="00207DDF" w:rsidRPr="002C5554" w:rsidRDefault="00E15939" w:rsidP="00F41F3A">
      <w:pPr>
        <w:widowControl w:val="0"/>
        <w:suppressLineNumbers/>
        <w:shd w:val="clear" w:color="auto" w:fill="FFFFFF"/>
        <w:suppressAutoHyphens/>
        <w:ind w:firstLine="567"/>
        <w:jc w:val="both"/>
        <w:rPr>
          <w:sz w:val="28"/>
          <w:highlight w:val="cyan"/>
          <w:lang w:val="en-US"/>
        </w:rPr>
      </w:pPr>
      <w:r w:rsidRPr="00B35F8C">
        <w:rPr>
          <w:szCs w:val="22"/>
          <w:lang w:val="en"/>
        </w:rPr>
        <w:t xml:space="preserve">The Bank pays high attention to risk management, especially focusing on the identification and assessment of significant risks that may significantly affect the financial stability, reputation or liquidity of the Bank. </w:t>
      </w:r>
    </w:p>
    <w:p w14:paraId="4E3FC52E" w14:textId="77777777" w:rsidR="00207DDF" w:rsidRPr="002C5554" w:rsidRDefault="00E15939" w:rsidP="00207DDF">
      <w:pPr>
        <w:widowControl w:val="0"/>
        <w:suppressLineNumbers/>
        <w:shd w:val="clear" w:color="auto" w:fill="FFFFFF"/>
        <w:tabs>
          <w:tab w:val="left" w:pos="851"/>
        </w:tabs>
        <w:suppressAutoHyphens/>
        <w:ind w:firstLine="567"/>
        <w:jc w:val="both"/>
        <w:rPr>
          <w:szCs w:val="22"/>
          <w:lang w:val="en-US"/>
        </w:rPr>
      </w:pPr>
      <w:r w:rsidRPr="00B35F8C">
        <w:rPr>
          <w:szCs w:val="22"/>
          <w:lang w:val="en"/>
        </w:rPr>
        <w:t>The Bank identifies significant risks by:</w:t>
      </w:r>
    </w:p>
    <w:p w14:paraId="7F7C6533" w14:textId="77777777" w:rsidR="00207DDF" w:rsidRPr="002C5554" w:rsidRDefault="00E15939" w:rsidP="00207DDF">
      <w:pPr>
        <w:pStyle w:val="aa"/>
        <w:numPr>
          <w:ilvl w:val="0"/>
          <w:numId w:val="38"/>
        </w:numPr>
        <w:tabs>
          <w:tab w:val="left" w:pos="851"/>
        </w:tabs>
        <w:ind w:left="0" w:firstLine="567"/>
        <w:jc w:val="both"/>
        <w:rPr>
          <w:rFonts w:ascii="Times New Roman" w:hAnsi="Times New Roman" w:cs="Times New Roman"/>
          <w:sz w:val="24"/>
          <w:lang w:val="en-US"/>
        </w:rPr>
      </w:pPr>
      <w:r w:rsidRPr="00A50DA6">
        <w:rPr>
          <w:rFonts w:ascii="Times New Roman" w:hAnsi="Times New Roman" w:cs="Times New Roman"/>
          <w:sz w:val="24"/>
          <w:lang w:val="en"/>
        </w:rPr>
        <w:t>conducting an analysis and assessment of the Bank's planned operations, all balance sheet and off-balance sheet items at risk;</w:t>
      </w:r>
    </w:p>
    <w:p w14:paraId="62436084" w14:textId="77777777" w:rsidR="00207DDF" w:rsidRPr="002C5554" w:rsidRDefault="00E15939" w:rsidP="00207DDF">
      <w:pPr>
        <w:pStyle w:val="aa"/>
        <w:widowControl w:val="0"/>
        <w:numPr>
          <w:ilvl w:val="0"/>
          <w:numId w:val="38"/>
        </w:numPr>
        <w:suppressLineNumbers/>
        <w:shd w:val="clear" w:color="auto" w:fill="FFFFFF"/>
        <w:tabs>
          <w:tab w:val="left" w:pos="851"/>
        </w:tabs>
        <w:suppressAutoHyphens/>
        <w:ind w:left="0" w:firstLine="567"/>
        <w:jc w:val="both"/>
        <w:rPr>
          <w:rFonts w:ascii="Times New Roman" w:hAnsi="Times New Roman" w:cs="Times New Roman"/>
          <w:sz w:val="24"/>
          <w:lang w:val="en-US"/>
        </w:rPr>
      </w:pPr>
      <w:r w:rsidRPr="00A50DA6">
        <w:rPr>
          <w:rFonts w:ascii="Times New Roman" w:hAnsi="Times New Roman" w:cs="Times New Roman"/>
          <w:sz w:val="24"/>
          <w:lang w:val="en"/>
        </w:rPr>
        <w:t>analysis of the current market situation and analysis of the impact of changes in external and internal factors on risks;</w:t>
      </w:r>
    </w:p>
    <w:p w14:paraId="4DDAA60F" w14:textId="77777777" w:rsidR="00207DDF" w:rsidRPr="002C5554" w:rsidRDefault="00E15939" w:rsidP="00207DDF">
      <w:pPr>
        <w:pStyle w:val="aa"/>
        <w:widowControl w:val="0"/>
        <w:numPr>
          <w:ilvl w:val="0"/>
          <w:numId w:val="38"/>
        </w:numPr>
        <w:suppressLineNumbers/>
        <w:shd w:val="clear" w:color="auto" w:fill="FFFFFF"/>
        <w:tabs>
          <w:tab w:val="left" w:pos="567"/>
          <w:tab w:val="left" w:pos="851"/>
        </w:tabs>
        <w:suppressAutoHyphens/>
        <w:ind w:left="0" w:firstLine="567"/>
        <w:jc w:val="both"/>
        <w:rPr>
          <w:lang w:val="en-US"/>
        </w:rPr>
      </w:pPr>
      <w:r w:rsidRPr="00A50DA6">
        <w:rPr>
          <w:rFonts w:ascii="Times New Roman" w:hAnsi="Times New Roman" w:cs="Times New Roman"/>
          <w:sz w:val="24"/>
          <w:lang w:val="en"/>
        </w:rPr>
        <w:t>development of a set of tools and indicators for risk analysis and assessment</w:t>
      </w:r>
      <w:r w:rsidRPr="00A50DA6">
        <w:rPr>
          <w:lang w:val="en"/>
        </w:rPr>
        <w:t>.</w:t>
      </w:r>
    </w:p>
    <w:p w14:paraId="58215BD3" w14:textId="77777777" w:rsidR="00207DDF" w:rsidRPr="002C5554" w:rsidRDefault="00E15939" w:rsidP="00207DDF">
      <w:pPr>
        <w:tabs>
          <w:tab w:val="left" w:pos="851"/>
        </w:tabs>
        <w:ind w:firstLine="567"/>
        <w:jc w:val="both"/>
        <w:rPr>
          <w:szCs w:val="22"/>
          <w:lang w:val="en-US"/>
        </w:rPr>
      </w:pPr>
      <w:r w:rsidRPr="00B35F8C">
        <w:rPr>
          <w:szCs w:val="22"/>
          <w:lang w:val="en"/>
        </w:rPr>
        <w:t>Based on the identification results, a monthly quantitative assessment of the Bank's significant risks is carried out using methods that reliably assess the Bank's exposure to risk, taking into account the assumptions used in these methods.</w:t>
      </w:r>
    </w:p>
    <w:p w14:paraId="12CC8758" w14:textId="77777777" w:rsidR="000530B4" w:rsidRPr="002C5554" w:rsidRDefault="00E15939" w:rsidP="00710A87">
      <w:pPr>
        <w:tabs>
          <w:tab w:val="left" w:pos="851"/>
        </w:tabs>
        <w:ind w:firstLine="567"/>
        <w:jc w:val="both"/>
        <w:rPr>
          <w:szCs w:val="22"/>
          <w:lang w:val="en-US"/>
        </w:rPr>
      </w:pPr>
      <w:r w:rsidRPr="00710A87">
        <w:rPr>
          <w:szCs w:val="22"/>
          <w:lang w:val="en"/>
        </w:rPr>
        <w:t>Market risk assessment is carried out in accordance with the Bank's IRs, which describe identification procedures, assessment methods and models, ways to regulate market risk, as well as the procedure for monitoring and controlling market risk.</w:t>
      </w:r>
    </w:p>
    <w:p w14:paraId="4B70FEB4" w14:textId="77777777" w:rsidR="000530B4" w:rsidRPr="002C5554" w:rsidRDefault="00E15939" w:rsidP="00710A87">
      <w:pPr>
        <w:tabs>
          <w:tab w:val="left" w:pos="851"/>
        </w:tabs>
        <w:ind w:firstLine="567"/>
        <w:jc w:val="both"/>
        <w:rPr>
          <w:szCs w:val="22"/>
          <w:lang w:val="en-US"/>
        </w:rPr>
      </w:pPr>
      <w:r w:rsidRPr="00710A87">
        <w:rPr>
          <w:szCs w:val="22"/>
          <w:lang w:val="en"/>
        </w:rPr>
        <w:t>Based on the results of the identification of current (open positions) on-balance sheet and off-balance sheet requirements and liabilities of the Bank that are sensitive to changes in market factors, the Bank performs a monthly quantitative assessment of market risk, including an assessment of changes in market factors affecting the level of market risk, taking into account intra-group transactions.</w:t>
      </w:r>
    </w:p>
    <w:p w14:paraId="48E82106" w14:textId="77777777" w:rsidR="000530B4" w:rsidRPr="002C5554" w:rsidRDefault="00E15939" w:rsidP="00710A87">
      <w:pPr>
        <w:tabs>
          <w:tab w:val="left" w:pos="851"/>
        </w:tabs>
        <w:ind w:firstLine="567"/>
        <w:jc w:val="both"/>
        <w:rPr>
          <w:szCs w:val="22"/>
          <w:lang w:val="en-US"/>
        </w:rPr>
      </w:pPr>
      <w:r w:rsidRPr="00895D7A">
        <w:rPr>
          <w:szCs w:val="22"/>
          <w:lang w:val="en"/>
        </w:rPr>
        <w:t>To quantify market risk, methods are used to reliably assess the Bank's exposure to market risk, taking into account the assumptions used in these methods.</w:t>
      </w:r>
      <w:r w:rsidRPr="00895D7A">
        <w:rPr>
          <w:szCs w:val="22"/>
          <w:lang w:val="en"/>
        </w:rPr>
        <w:tab/>
        <w:t>A quantitative assessment makes it possible to determine the amount that a Bank may lose at a given level of market risk.</w:t>
      </w:r>
    </w:p>
    <w:p w14:paraId="0C47B0A9" w14:textId="77777777" w:rsidR="000530B4" w:rsidRPr="002C5554" w:rsidRDefault="00E15939" w:rsidP="00710A87">
      <w:pPr>
        <w:tabs>
          <w:tab w:val="left" w:pos="851"/>
        </w:tabs>
        <w:ind w:firstLine="567"/>
        <w:jc w:val="both"/>
        <w:rPr>
          <w:szCs w:val="22"/>
          <w:lang w:val="en-US"/>
        </w:rPr>
      </w:pPr>
      <w:r>
        <w:rPr>
          <w:szCs w:val="22"/>
          <w:lang w:val="en"/>
        </w:rPr>
        <w:t>The Bank uses the following methods for assessing market risk:</w:t>
      </w:r>
    </w:p>
    <w:p w14:paraId="3550EFD4" w14:textId="77777777" w:rsidR="000530B4" w:rsidRPr="0031110C" w:rsidRDefault="00E15939" w:rsidP="00710A87">
      <w:pPr>
        <w:tabs>
          <w:tab w:val="left" w:pos="851"/>
        </w:tabs>
        <w:ind w:firstLine="567"/>
        <w:jc w:val="both"/>
        <w:rPr>
          <w:szCs w:val="22"/>
          <w:lang w:val="en-US"/>
        </w:rPr>
      </w:pPr>
      <w:r w:rsidRPr="0031110C">
        <w:rPr>
          <w:szCs w:val="22"/>
          <w:lang w:val="en"/>
        </w:rPr>
        <w:t>1)</w:t>
      </w:r>
      <w:r w:rsidRPr="0031110C">
        <w:rPr>
          <w:szCs w:val="22"/>
          <w:lang w:val="en"/>
        </w:rPr>
        <w:tab/>
        <w:t>Value-at-Risk (</w:t>
      </w:r>
      <w:proofErr w:type="spellStart"/>
      <w:r w:rsidRPr="0031110C">
        <w:rPr>
          <w:szCs w:val="22"/>
          <w:lang w:val="en"/>
        </w:rPr>
        <w:t>VaR</w:t>
      </w:r>
      <w:proofErr w:type="spellEnd"/>
      <w:r w:rsidRPr="0031110C">
        <w:rPr>
          <w:szCs w:val="22"/>
          <w:lang w:val="en"/>
        </w:rPr>
        <w:t>), Expected Shortfall (ES) for assessing the Bank's market risk;</w:t>
      </w:r>
    </w:p>
    <w:p w14:paraId="7D0D66D6" w14:textId="77777777" w:rsidR="000530B4" w:rsidRPr="002C5554" w:rsidRDefault="00E15939" w:rsidP="00710A87">
      <w:pPr>
        <w:tabs>
          <w:tab w:val="left" w:pos="851"/>
        </w:tabs>
        <w:ind w:firstLine="567"/>
        <w:jc w:val="both"/>
        <w:rPr>
          <w:szCs w:val="22"/>
          <w:lang w:val="en-US"/>
        </w:rPr>
      </w:pPr>
      <w:r w:rsidRPr="00710A87">
        <w:rPr>
          <w:szCs w:val="22"/>
          <w:lang w:val="en"/>
        </w:rPr>
        <w:t>2)</w:t>
      </w:r>
      <w:r w:rsidRPr="00710A87">
        <w:rPr>
          <w:szCs w:val="22"/>
          <w:lang w:val="en"/>
        </w:rPr>
        <w:tab/>
        <w:t>The method of percentage gap analysis (GAP analysis) for assessing the Bank's interest rate risk;</w:t>
      </w:r>
    </w:p>
    <w:p w14:paraId="062F233F" w14:textId="77777777" w:rsidR="000530B4" w:rsidRPr="002C5554" w:rsidRDefault="00E15939" w:rsidP="00710A87">
      <w:pPr>
        <w:tabs>
          <w:tab w:val="left" w:pos="851"/>
        </w:tabs>
        <w:ind w:firstLine="567"/>
        <w:jc w:val="both"/>
        <w:rPr>
          <w:szCs w:val="22"/>
          <w:lang w:val="en-US"/>
        </w:rPr>
      </w:pPr>
      <w:r w:rsidRPr="00710A87">
        <w:rPr>
          <w:szCs w:val="22"/>
          <w:lang w:val="en"/>
        </w:rPr>
        <w:t>3) Duration for assessing the Bank's interest rate and price risks;</w:t>
      </w:r>
    </w:p>
    <w:p w14:paraId="5967D2F8" w14:textId="77777777" w:rsidR="006832A0" w:rsidRPr="002C5554" w:rsidRDefault="00E15939" w:rsidP="00710A87">
      <w:pPr>
        <w:tabs>
          <w:tab w:val="left" w:pos="851"/>
        </w:tabs>
        <w:ind w:firstLine="567"/>
        <w:jc w:val="both"/>
        <w:rPr>
          <w:szCs w:val="22"/>
          <w:lang w:val="en-US"/>
        </w:rPr>
      </w:pPr>
      <w:r w:rsidRPr="00710A87">
        <w:rPr>
          <w:szCs w:val="22"/>
          <w:lang w:val="en"/>
        </w:rPr>
        <w:t>4) Quantitative estimates of changes in the economic value of the bank (EVE) and changes in net interest income (NII);</w:t>
      </w:r>
    </w:p>
    <w:p w14:paraId="7F155EF0" w14:textId="77777777" w:rsidR="000530B4" w:rsidRPr="002C5554" w:rsidRDefault="00E15939" w:rsidP="00710A87">
      <w:pPr>
        <w:tabs>
          <w:tab w:val="left" w:pos="851"/>
        </w:tabs>
        <w:ind w:firstLine="567"/>
        <w:jc w:val="both"/>
        <w:rPr>
          <w:szCs w:val="22"/>
          <w:lang w:val="en-US"/>
        </w:rPr>
      </w:pPr>
      <w:r w:rsidRPr="00710A87">
        <w:rPr>
          <w:szCs w:val="22"/>
          <w:lang w:val="en"/>
        </w:rPr>
        <w:t>5)</w:t>
      </w:r>
      <w:r w:rsidRPr="00710A87">
        <w:rPr>
          <w:szCs w:val="22"/>
          <w:lang w:val="en"/>
        </w:rPr>
        <w:tab/>
        <w:t>Stress testing: scenario analysis and sensitivity analysis for assessing market risk is carried out in accordance with the Stress Testing Methodology, which describes the procedures and frequency of stress testing in order to assess market risk, including the internal procedure for using their results as part of the risk management process. Stress testing of market risks is carried out on a periodic basis in order to identify the level of potential market risks inherent in the Bank's activities and assess the Bank's ability to withstand changes.</w:t>
      </w:r>
    </w:p>
    <w:p w14:paraId="71E81E23" w14:textId="77777777" w:rsidR="00125820" w:rsidRPr="00125820" w:rsidRDefault="00E15939" w:rsidP="00125820">
      <w:pPr>
        <w:widowControl w:val="0"/>
        <w:suppressLineNumbers/>
        <w:shd w:val="clear" w:color="auto" w:fill="FFFFFF"/>
        <w:tabs>
          <w:tab w:val="left" w:pos="851"/>
          <w:tab w:val="left" w:pos="993"/>
        </w:tabs>
        <w:suppressAutoHyphens/>
        <w:ind w:firstLine="567"/>
        <w:jc w:val="both"/>
        <w:rPr>
          <w:szCs w:val="22"/>
          <w:lang w:val="kk-KZ"/>
        </w:rPr>
      </w:pPr>
      <w:r w:rsidRPr="00125820">
        <w:rPr>
          <w:szCs w:val="22"/>
          <w:lang w:val="en"/>
        </w:rPr>
        <w:t>6) Forecasting and modeling, including forecasting future cash flows to assess market risk and liquidity risk.</w:t>
      </w:r>
    </w:p>
    <w:p w14:paraId="70D915C7" w14:textId="77777777" w:rsidR="000530B4" w:rsidRPr="002C5554" w:rsidRDefault="00E15939" w:rsidP="004B7E06">
      <w:pPr>
        <w:tabs>
          <w:tab w:val="left" w:pos="851"/>
        </w:tabs>
        <w:ind w:firstLine="567"/>
        <w:jc w:val="both"/>
        <w:rPr>
          <w:szCs w:val="22"/>
          <w:lang w:val="en-US"/>
        </w:rPr>
      </w:pPr>
      <w:r>
        <w:rPr>
          <w:szCs w:val="22"/>
          <w:lang w:val="en"/>
        </w:rPr>
        <w:t>The Bank periodically, but at least once a quarter, conducts sensitivity analysis for each type of market risk. The sensitivity analysis shows the impact on the Bank's profit (loss) and equity of possible changes in variable market risk factors:</w:t>
      </w:r>
    </w:p>
    <w:p w14:paraId="5325773E" w14:textId="77777777" w:rsidR="000530B4" w:rsidRPr="002C5554" w:rsidRDefault="00E15939" w:rsidP="004B7E06">
      <w:pPr>
        <w:tabs>
          <w:tab w:val="left" w:pos="851"/>
        </w:tabs>
        <w:ind w:firstLine="567"/>
        <w:jc w:val="both"/>
        <w:rPr>
          <w:szCs w:val="22"/>
          <w:lang w:val="en-US"/>
        </w:rPr>
      </w:pPr>
      <w:r w:rsidRPr="004B7E06">
        <w:rPr>
          <w:szCs w:val="22"/>
          <w:lang w:val="en"/>
        </w:rPr>
        <w:t>1)</w:t>
      </w:r>
      <w:r w:rsidRPr="004B7E06">
        <w:rPr>
          <w:szCs w:val="22"/>
          <w:lang w:val="en"/>
        </w:rPr>
        <w:tab/>
        <w:t>Currency risk is carried out based on the current value of the OEP value at the time of calculation and a hypothetical scenario for an increase/decrease (depending on the position sign) in the exchange rate of the national currency relative to foreign currencies;</w:t>
      </w:r>
    </w:p>
    <w:p w14:paraId="5F5C5A6A" w14:textId="77777777" w:rsidR="000530B4" w:rsidRPr="002C5554" w:rsidRDefault="00E15939" w:rsidP="004B7E06">
      <w:pPr>
        <w:tabs>
          <w:tab w:val="left" w:pos="851"/>
        </w:tabs>
        <w:ind w:firstLine="567"/>
        <w:jc w:val="both"/>
        <w:rPr>
          <w:szCs w:val="22"/>
          <w:lang w:val="en-US"/>
        </w:rPr>
      </w:pPr>
      <w:r w:rsidRPr="004B7E06">
        <w:rPr>
          <w:szCs w:val="22"/>
          <w:lang w:val="en"/>
        </w:rPr>
        <w:lastRenderedPageBreak/>
        <w:t>2)</w:t>
      </w:r>
      <w:r w:rsidRPr="004B7E06">
        <w:rPr>
          <w:szCs w:val="22"/>
          <w:lang w:val="en"/>
        </w:rPr>
        <w:tab/>
        <w:t>price/interest rate risk is carried out on a portfolio of debt securities of the Bank, valued at fair value through other comprehensive income based on the current value of the market price and a hypothetical scenario for a change in the market price of the bond or the value of the market yield and a hypothetical scenario for a change in the market yield of the bond;</w:t>
      </w:r>
    </w:p>
    <w:p w14:paraId="75058CFD" w14:textId="77777777" w:rsidR="000530B4" w:rsidRPr="002C5554" w:rsidRDefault="00E15939" w:rsidP="004B7E06">
      <w:pPr>
        <w:tabs>
          <w:tab w:val="left" w:pos="851"/>
        </w:tabs>
        <w:ind w:firstLine="567"/>
        <w:jc w:val="both"/>
        <w:rPr>
          <w:szCs w:val="22"/>
          <w:lang w:val="en-US"/>
        </w:rPr>
      </w:pPr>
      <w:r w:rsidRPr="004B7E06">
        <w:rPr>
          <w:szCs w:val="22"/>
          <w:lang w:val="en"/>
        </w:rPr>
        <w:t>3)</w:t>
      </w:r>
      <w:r w:rsidRPr="004B7E06">
        <w:rPr>
          <w:szCs w:val="22"/>
          <w:lang w:val="en"/>
        </w:rPr>
        <w:tab/>
        <w:t xml:space="preserve">analysis of sensitivity to changes in the interest rate risk of gaps in the Bank's interest-bearing balance sheet/off-balance sheet assets and liabilities for rising/and falling interest rates. </w:t>
      </w:r>
    </w:p>
    <w:p w14:paraId="70FEC91B" w14:textId="77777777" w:rsidR="000530B4" w:rsidRPr="002C5554" w:rsidRDefault="00E15939" w:rsidP="004B7E06">
      <w:pPr>
        <w:tabs>
          <w:tab w:val="left" w:pos="851"/>
        </w:tabs>
        <w:ind w:firstLine="567"/>
        <w:jc w:val="both"/>
        <w:rPr>
          <w:szCs w:val="22"/>
          <w:lang w:val="en-US"/>
        </w:rPr>
      </w:pPr>
      <w:r>
        <w:rPr>
          <w:szCs w:val="22"/>
          <w:lang w:val="en"/>
        </w:rPr>
        <w:t>The responsible Risk management unit provides the results of the assessment of the current state of market risk within the framework of the management reporting system on market risk to the ALCO and the Management Board on a monthly basis, the Bank's RICC and the Bank's Board of Directors quarterly, for making appropriate decisions.</w:t>
      </w:r>
    </w:p>
    <w:p w14:paraId="7976131B" w14:textId="77777777" w:rsidR="00125820" w:rsidRPr="00125820" w:rsidRDefault="00E15939" w:rsidP="00125820">
      <w:pPr>
        <w:tabs>
          <w:tab w:val="left" w:pos="851"/>
        </w:tabs>
        <w:ind w:firstLine="567"/>
        <w:jc w:val="both"/>
        <w:rPr>
          <w:lang w:val="kk-KZ"/>
        </w:rPr>
      </w:pPr>
      <w:r w:rsidRPr="00125820">
        <w:rPr>
          <w:lang w:val="en"/>
        </w:rPr>
        <w:t>The Bank uses the following methods of regulating market risks in order to limit its level: limiting, diversifying, and hedging.</w:t>
      </w:r>
    </w:p>
    <w:p w14:paraId="41C7EE37" w14:textId="77777777" w:rsidR="00681D63" w:rsidRPr="008F3864" w:rsidRDefault="00E15939" w:rsidP="008F3864">
      <w:pPr>
        <w:ind w:firstLine="567"/>
        <w:jc w:val="both"/>
        <w:rPr>
          <w:lang w:val="kk-KZ"/>
        </w:rPr>
      </w:pPr>
      <w:r w:rsidRPr="008F3864">
        <w:rPr>
          <w:lang w:val="en"/>
        </w:rPr>
        <w:t>ICD uses the following main tools to manage, measure and evaluate operational risks:</w:t>
      </w:r>
    </w:p>
    <w:p w14:paraId="2E0A941D" w14:textId="77777777" w:rsidR="00681D63" w:rsidRPr="002C5554" w:rsidRDefault="00E15939" w:rsidP="008F3864">
      <w:pPr>
        <w:pStyle w:val="100"/>
        <w:numPr>
          <w:ilvl w:val="0"/>
          <w:numId w:val="32"/>
        </w:numPr>
        <w:tabs>
          <w:tab w:val="clear" w:pos="928"/>
          <w:tab w:val="left" w:pos="1134"/>
        </w:tabs>
        <w:ind w:left="0" w:firstLine="567"/>
        <w:contextualSpacing/>
        <w:rPr>
          <w:sz w:val="24"/>
          <w:szCs w:val="24"/>
          <w:lang w:val="en-US"/>
        </w:rPr>
      </w:pPr>
      <w:r w:rsidRPr="008F3864">
        <w:rPr>
          <w:sz w:val="24"/>
          <w:szCs w:val="24"/>
          <w:lang w:val="en"/>
        </w:rPr>
        <w:t>Collection and analysis of an internal database (hereinafter referred to as the DB) of realized operational losses and events (Loss database);</w:t>
      </w:r>
    </w:p>
    <w:p w14:paraId="66E0F818" w14:textId="77777777" w:rsidR="00681D63" w:rsidRPr="002C5554" w:rsidRDefault="00E15939" w:rsidP="008F3864">
      <w:pPr>
        <w:pStyle w:val="100"/>
        <w:numPr>
          <w:ilvl w:val="0"/>
          <w:numId w:val="32"/>
        </w:numPr>
        <w:tabs>
          <w:tab w:val="clear" w:pos="928"/>
          <w:tab w:val="left" w:pos="1134"/>
        </w:tabs>
        <w:ind w:left="0" w:firstLine="567"/>
        <w:contextualSpacing/>
        <w:rPr>
          <w:sz w:val="24"/>
          <w:szCs w:val="24"/>
          <w:lang w:val="en-US"/>
        </w:rPr>
      </w:pPr>
      <w:r w:rsidRPr="008F3864">
        <w:rPr>
          <w:sz w:val="24"/>
          <w:szCs w:val="24"/>
          <w:lang w:val="en"/>
        </w:rPr>
        <w:t xml:space="preserve">Performing an analysis of external significant events related to operating losses and events;  </w:t>
      </w:r>
    </w:p>
    <w:p w14:paraId="5F9AAF92" w14:textId="77777777" w:rsidR="00681D63" w:rsidRPr="002C5554" w:rsidRDefault="00E15939" w:rsidP="008F3864">
      <w:pPr>
        <w:pStyle w:val="100"/>
        <w:numPr>
          <w:ilvl w:val="0"/>
          <w:numId w:val="32"/>
        </w:numPr>
        <w:tabs>
          <w:tab w:val="clear" w:pos="928"/>
          <w:tab w:val="left" w:pos="1134"/>
        </w:tabs>
        <w:ind w:left="0" w:firstLine="567"/>
        <w:contextualSpacing/>
        <w:rPr>
          <w:bCs/>
          <w:sz w:val="24"/>
          <w:szCs w:val="24"/>
          <w:lang w:val="en-US"/>
        </w:rPr>
      </w:pPr>
      <w:r w:rsidRPr="008F3864">
        <w:rPr>
          <w:sz w:val="24"/>
          <w:szCs w:val="24"/>
          <w:lang w:val="en"/>
        </w:rPr>
        <w:t xml:space="preserve">Conducting a Risk Control </w:t>
      </w:r>
      <w:proofErr w:type="spellStart"/>
      <w:r w:rsidRPr="008F3864">
        <w:rPr>
          <w:sz w:val="24"/>
          <w:szCs w:val="24"/>
          <w:lang w:val="en"/>
        </w:rPr>
        <w:t>Self Assessment</w:t>
      </w:r>
      <w:proofErr w:type="spellEnd"/>
      <w:r w:rsidRPr="008F3864">
        <w:rPr>
          <w:sz w:val="24"/>
          <w:szCs w:val="24"/>
          <w:lang w:val="en"/>
        </w:rPr>
        <w:t>;</w:t>
      </w:r>
    </w:p>
    <w:p w14:paraId="4C4E61BC" w14:textId="77777777" w:rsidR="00681D63" w:rsidRPr="002C5554" w:rsidRDefault="00E15939" w:rsidP="008F3864">
      <w:pPr>
        <w:pStyle w:val="100"/>
        <w:numPr>
          <w:ilvl w:val="0"/>
          <w:numId w:val="32"/>
        </w:numPr>
        <w:tabs>
          <w:tab w:val="clear" w:pos="928"/>
          <w:tab w:val="left" w:pos="1134"/>
        </w:tabs>
        <w:ind w:left="0" w:firstLine="567"/>
        <w:contextualSpacing/>
        <w:rPr>
          <w:sz w:val="24"/>
          <w:szCs w:val="24"/>
          <w:lang w:val="en-US"/>
        </w:rPr>
      </w:pPr>
      <w:r w:rsidRPr="008F3864">
        <w:rPr>
          <w:sz w:val="24"/>
          <w:szCs w:val="24"/>
          <w:lang w:val="en"/>
        </w:rPr>
        <w:t>Description (regulation) of the Bank's business processes;</w:t>
      </w:r>
    </w:p>
    <w:p w14:paraId="76084023" w14:textId="77777777" w:rsidR="00681D63" w:rsidRPr="002C5554" w:rsidRDefault="00E15939" w:rsidP="008F3864">
      <w:pPr>
        <w:pStyle w:val="100"/>
        <w:numPr>
          <w:ilvl w:val="0"/>
          <w:numId w:val="32"/>
        </w:numPr>
        <w:tabs>
          <w:tab w:val="clear" w:pos="928"/>
          <w:tab w:val="left" w:pos="1134"/>
        </w:tabs>
        <w:ind w:left="0" w:firstLine="567"/>
        <w:contextualSpacing/>
        <w:rPr>
          <w:sz w:val="24"/>
          <w:szCs w:val="24"/>
          <w:lang w:val="en-US"/>
        </w:rPr>
      </w:pPr>
      <w:r w:rsidRPr="008F3864">
        <w:rPr>
          <w:sz w:val="24"/>
          <w:szCs w:val="24"/>
          <w:lang w:val="en"/>
        </w:rPr>
        <w:t>Application of Key Indicators of Operational Risk;</w:t>
      </w:r>
    </w:p>
    <w:p w14:paraId="35916C90" w14:textId="77777777" w:rsidR="00681D63" w:rsidRPr="008F3864" w:rsidRDefault="00E15939" w:rsidP="008F3864">
      <w:pPr>
        <w:pStyle w:val="100"/>
        <w:numPr>
          <w:ilvl w:val="0"/>
          <w:numId w:val="32"/>
        </w:numPr>
        <w:tabs>
          <w:tab w:val="clear" w:pos="928"/>
          <w:tab w:val="left" w:pos="1134"/>
        </w:tabs>
        <w:ind w:left="0" w:firstLine="567"/>
        <w:contextualSpacing/>
        <w:rPr>
          <w:sz w:val="24"/>
          <w:szCs w:val="24"/>
        </w:rPr>
      </w:pPr>
      <w:r w:rsidRPr="008F3864">
        <w:rPr>
          <w:sz w:val="24"/>
          <w:szCs w:val="24"/>
          <w:lang w:val="en"/>
        </w:rPr>
        <w:t>Scenario analysis;</w:t>
      </w:r>
    </w:p>
    <w:p w14:paraId="26FE8EE1" w14:textId="77777777" w:rsidR="00681D63" w:rsidRPr="002C5554" w:rsidRDefault="00E15939" w:rsidP="008F3864">
      <w:pPr>
        <w:pStyle w:val="100"/>
        <w:numPr>
          <w:ilvl w:val="0"/>
          <w:numId w:val="32"/>
        </w:numPr>
        <w:tabs>
          <w:tab w:val="clear" w:pos="928"/>
          <w:tab w:val="left" w:pos="1134"/>
        </w:tabs>
        <w:ind w:left="0" w:firstLine="567"/>
        <w:contextualSpacing/>
        <w:rPr>
          <w:sz w:val="24"/>
          <w:szCs w:val="24"/>
          <w:lang w:val="en-US"/>
        </w:rPr>
      </w:pPr>
      <w:r w:rsidRPr="008F3864">
        <w:rPr>
          <w:sz w:val="24"/>
          <w:szCs w:val="24"/>
          <w:lang w:val="en"/>
        </w:rPr>
        <w:t>Use of audit results (if any);</w:t>
      </w:r>
    </w:p>
    <w:p w14:paraId="0EBC1AEB" w14:textId="77777777" w:rsidR="00681D63" w:rsidRPr="002C5554" w:rsidRDefault="00E15939" w:rsidP="008F3864">
      <w:pPr>
        <w:pStyle w:val="100"/>
        <w:numPr>
          <w:ilvl w:val="0"/>
          <w:numId w:val="32"/>
        </w:numPr>
        <w:tabs>
          <w:tab w:val="clear" w:pos="928"/>
          <w:tab w:val="left" w:pos="1134"/>
        </w:tabs>
        <w:ind w:left="0" w:firstLine="567"/>
        <w:contextualSpacing/>
        <w:rPr>
          <w:sz w:val="24"/>
          <w:szCs w:val="24"/>
          <w:lang w:val="en-US"/>
        </w:rPr>
      </w:pPr>
      <w:r w:rsidRPr="008F3864">
        <w:rPr>
          <w:sz w:val="24"/>
          <w:szCs w:val="24"/>
          <w:lang w:val="en"/>
        </w:rPr>
        <w:t>Operational risk map (by incident).</w:t>
      </w:r>
    </w:p>
    <w:p w14:paraId="6161604B" w14:textId="77777777" w:rsidR="00E63760" w:rsidRPr="008F3864" w:rsidRDefault="00E15939" w:rsidP="008F3864">
      <w:pPr>
        <w:ind w:firstLine="567"/>
        <w:jc w:val="both"/>
        <w:rPr>
          <w:lang w:val="kk-KZ"/>
        </w:rPr>
      </w:pPr>
      <w:r w:rsidRPr="008F3864">
        <w:rPr>
          <w:lang w:val="en"/>
        </w:rPr>
        <w:t>The collection and analysis of internal data on operational risk events is carried out by the ICD. Collecting and analyzing internal data on operational risk events (maintaining a database on operational risk events) is a process that allows assessing operational risk exposure and the effectiveness of internal control based on information about operational losses. An analysis of loss cases provides insight into the causes of major losses and information about whether failures in the control system are episodic or systemic.</w:t>
      </w:r>
    </w:p>
    <w:p w14:paraId="6FB7FC8D" w14:textId="77777777" w:rsidR="00E63760" w:rsidRPr="008F3864" w:rsidRDefault="00E15939" w:rsidP="008F3864">
      <w:pPr>
        <w:ind w:firstLine="567"/>
        <w:jc w:val="both"/>
        <w:rPr>
          <w:lang w:val="kk-KZ"/>
        </w:rPr>
      </w:pPr>
      <w:r w:rsidRPr="008F3864">
        <w:rPr>
          <w:lang w:val="en"/>
        </w:rPr>
        <w:t>The Bank is working to collect and maintain an internal database of realized operational losses and events based on the facts of the Bank's realized operational risks:</w:t>
      </w:r>
    </w:p>
    <w:p w14:paraId="0060AF3A" w14:textId="77777777" w:rsidR="00E63760" w:rsidRPr="002C5554" w:rsidRDefault="00E15939" w:rsidP="008F3864">
      <w:pPr>
        <w:pStyle w:val="100"/>
        <w:numPr>
          <w:ilvl w:val="0"/>
          <w:numId w:val="29"/>
        </w:numPr>
        <w:tabs>
          <w:tab w:val="left" w:pos="851"/>
        </w:tabs>
        <w:ind w:left="0" w:firstLine="567"/>
        <w:contextualSpacing/>
        <w:rPr>
          <w:sz w:val="24"/>
          <w:szCs w:val="24"/>
          <w:lang w:val="en-US"/>
        </w:rPr>
      </w:pPr>
      <w:r w:rsidRPr="008F3864">
        <w:rPr>
          <w:sz w:val="24"/>
          <w:szCs w:val="24"/>
          <w:lang w:val="en"/>
        </w:rPr>
        <w:t>In order to track data on operational risks on an ongoing basis, including losses within each line of business, ICD administers an electronic internal database of operational losses and events;</w:t>
      </w:r>
    </w:p>
    <w:p w14:paraId="182EFD3E" w14:textId="77777777" w:rsidR="00E63760" w:rsidRPr="002C5554" w:rsidRDefault="00E15939" w:rsidP="008F3864">
      <w:pPr>
        <w:pStyle w:val="100"/>
        <w:numPr>
          <w:ilvl w:val="0"/>
          <w:numId w:val="29"/>
        </w:numPr>
        <w:tabs>
          <w:tab w:val="left" w:pos="851"/>
        </w:tabs>
        <w:ind w:left="0" w:firstLine="567"/>
        <w:contextualSpacing/>
        <w:rPr>
          <w:sz w:val="24"/>
          <w:szCs w:val="24"/>
          <w:lang w:val="en-US"/>
        </w:rPr>
      </w:pPr>
      <w:r w:rsidRPr="008F3864">
        <w:rPr>
          <w:sz w:val="24"/>
          <w:szCs w:val="24"/>
          <w:lang w:val="en"/>
        </w:rPr>
        <w:t>all operational risk events are subject to systematization and reflection in the database of operational losses and events for subsequent analysis and assessment;</w:t>
      </w:r>
    </w:p>
    <w:p w14:paraId="5DB5FDB4" w14:textId="77777777" w:rsidR="00E63760" w:rsidRPr="002C5554" w:rsidRDefault="00E15939" w:rsidP="008F3864">
      <w:pPr>
        <w:pStyle w:val="100"/>
        <w:numPr>
          <w:ilvl w:val="0"/>
          <w:numId w:val="29"/>
        </w:numPr>
        <w:tabs>
          <w:tab w:val="left" w:pos="851"/>
        </w:tabs>
        <w:ind w:left="0" w:firstLine="567"/>
        <w:contextualSpacing/>
        <w:rPr>
          <w:sz w:val="24"/>
          <w:szCs w:val="24"/>
          <w:lang w:val="en-US"/>
        </w:rPr>
      </w:pPr>
      <w:r w:rsidRPr="008F3864">
        <w:rPr>
          <w:sz w:val="24"/>
          <w:szCs w:val="24"/>
          <w:lang w:val="en"/>
        </w:rPr>
        <w:t>data on the Bank's operational events should be reflected in the database, in accordance with the Bank's internal document regulating the procedure for collecting and maintaining a database on operational risk events.</w:t>
      </w:r>
    </w:p>
    <w:p w14:paraId="29D2C3DB" w14:textId="77777777" w:rsidR="00E63760" w:rsidRPr="008F3864" w:rsidRDefault="00E15939" w:rsidP="008F3864">
      <w:pPr>
        <w:ind w:firstLine="567"/>
        <w:jc w:val="both"/>
        <w:rPr>
          <w:lang w:val="kk-KZ"/>
        </w:rPr>
      </w:pPr>
      <w:r w:rsidRPr="008F3864">
        <w:rPr>
          <w:lang w:val="en"/>
        </w:rPr>
        <w:t xml:space="preserve">All employees of the Bank, when identifying incidents or events in the course of their current activities that are subject to registration (including those that could provoke, but did not lead to real damage), must immediately notify the risk coordinator assigned to their department. </w:t>
      </w:r>
    </w:p>
    <w:p w14:paraId="15B06FF8" w14:textId="77777777" w:rsidR="00E63760" w:rsidRPr="008F3864" w:rsidRDefault="00E15939" w:rsidP="008F3864">
      <w:pPr>
        <w:ind w:firstLine="567"/>
        <w:jc w:val="both"/>
        <w:rPr>
          <w:lang w:val="kk-KZ"/>
        </w:rPr>
      </w:pPr>
      <w:r w:rsidRPr="008F3864">
        <w:rPr>
          <w:lang w:val="en"/>
        </w:rPr>
        <w:t xml:space="preserve">The provisions on the collection and analysis of internal data on operational risk events are described in more detail in the Instructions for Collecting and Maintaining a database on operational Risk Events. </w:t>
      </w:r>
    </w:p>
    <w:p w14:paraId="2CC4348B" w14:textId="77777777" w:rsidR="00E63760" w:rsidRPr="008F3864" w:rsidRDefault="00E15939" w:rsidP="008F3864">
      <w:pPr>
        <w:ind w:firstLine="567"/>
        <w:jc w:val="both"/>
        <w:rPr>
          <w:lang w:val="kk-KZ"/>
        </w:rPr>
      </w:pPr>
      <w:r w:rsidRPr="008F3864">
        <w:rPr>
          <w:lang w:val="en"/>
        </w:rPr>
        <w:t xml:space="preserve">Operational risk management in the Bank should be carried out on an ongoing basis for each area of the Bank's activities in accordance with the Instructions for collecting and maintaining a database of operational risk events and should take into account the following: </w:t>
      </w:r>
    </w:p>
    <w:p w14:paraId="7E207BDA" w14:textId="77777777" w:rsidR="00E63760" w:rsidRPr="002C5554" w:rsidRDefault="00E15939" w:rsidP="008F3864">
      <w:pPr>
        <w:pStyle w:val="100"/>
        <w:numPr>
          <w:ilvl w:val="0"/>
          <w:numId w:val="29"/>
        </w:numPr>
        <w:tabs>
          <w:tab w:val="left" w:pos="851"/>
        </w:tabs>
        <w:ind w:left="0" w:firstLine="567"/>
        <w:contextualSpacing/>
        <w:rPr>
          <w:sz w:val="24"/>
          <w:szCs w:val="24"/>
          <w:lang w:val="en-US"/>
        </w:rPr>
      </w:pPr>
      <w:r w:rsidRPr="008F3864">
        <w:rPr>
          <w:sz w:val="24"/>
          <w:szCs w:val="24"/>
          <w:lang w:val="en"/>
        </w:rPr>
        <w:t xml:space="preserve"> the organizational structure of the Bank and the ability of the structural units and the Bank to achieve their goals;</w:t>
      </w:r>
    </w:p>
    <w:p w14:paraId="3F3C65B6" w14:textId="77777777" w:rsidR="00E63760" w:rsidRPr="002C5554" w:rsidRDefault="00E15939" w:rsidP="008F3864">
      <w:pPr>
        <w:pStyle w:val="100"/>
        <w:numPr>
          <w:ilvl w:val="0"/>
          <w:numId w:val="29"/>
        </w:numPr>
        <w:tabs>
          <w:tab w:val="left" w:pos="851"/>
        </w:tabs>
        <w:ind w:left="0" w:firstLine="567"/>
        <w:contextualSpacing/>
        <w:rPr>
          <w:sz w:val="24"/>
          <w:szCs w:val="24"/>
          <w:lang w:val="en-US"/>
        </w:rPr>
      </w:pPr>
      <w:r w:rsidRPr="008F3864">
        <w:rPr>
          <w:sz w:val="24"/>
          <w:szCs w:val="24"/>
          <w:lang w:val="en"/>
        </w:rPr>
        <w:t xml:space="preserve"> work performed by employees of the Bank's structural divisions;</w:t>
      </w:r>
    </w:p>
    <w:p w14:paraId="0B16D95A" w14:textId="77777777" w:rsidR="00E63760" w:rsidRPr="002C5554" w:rsidRDefault="00E15939" w:rsidP="008F3864">
      <w:pPr>
        <w:pStyle w:val="100"/>
        <w:numPr>
          <w:ilvl w:val="0"/>
          <w:numId w:val="29"/>
        </w:numPr>
        <w:tabs>
          <w:tab w:val="left" w:pos="851"/>
        </w:tabs>
        <w:ind w:left="0" w:firstLine="567"/>
        <w:contextualSpacing/>
        <w:rPr>
          <w:sz w:val="24"/>
          <w:szCs w:val="24"/>
          <w:lang w:val="en-US"/>
        </w:rPr>
      </w:pPr>
      <w:r w:rsidRPr="008F3864">
        <w:rPr>
          <w:sz w:val="24"/>
          <w:szCs w:val="24"/>
          <w:lang w:val="en"/>
        </w:rPr>
        <w:t xml:space="preserve"> matching the skills of employees and their further development to the needs of the Bank;</w:t>
      </w:r>
    </w:p>
    <w:p w14:paraId="069D0A32" w14:textId="77777777" w:rsidR="00E63760" w:rsidRPr="002C5554" w:rsidRDefault="00E15939" w:rsidP="008F3864">
      <w:pPr>
        <w:pStyle w:val="100"/>
        <w:numPr>
          <w:ilvl w:val="0"/>
          <w:numId w:val="29"/>
        </w:numPr>
        <w:tabs>
          <w:tab w:val="left" w:pos="851"/>
        </w:tabs>
        <w:ind w:left="0" w:firstLine="567"/>
        <w:contextualSpacing/>
        <w:rPr>
          <w:sz w:val="24"/>
          <w:szCs w:val="24"/>
          <w:lang w:val="en-US"/>
        </w:rPr>
      </w:pPr>
      <w:r w:rsidRPr="008F3864">
        <w:rPr>
          <w:sz w:val="24"/>
          <w:szCs w:val="24"/>
          <w:lang w:val="en"/>
        </w:rPr>
        <w:t xml:space="preserve"> prevention of internal and external fraud;</w:t>
      </w:r>
    </w:p>
    <w:p w14:paraId="519CD1FE" w14:textId="77777777" w:rsidR="00E63760" w:rsidRPr="002C5554" w:rsidRDefault="00E15939" w:rsidP="008F3864">
      <w:pPr>
        <w:pStyle w:val="100"/>
        <w:numPr>
          <w:ilvl w:val="0"/>
          <w:numId w:val="29"/>
        </w:numPr>
        <w:tabs>
          <w:tab w:val="left" w:pos="851"/>
        </w:tabs>
        <w:ind w:left="0" w:firstLine="567"/>
        <w:contextualSpacing/>
        <w:rPr>
          <w:sz w:val="24"/>
          <w:szCs w:val="24"/>
          <w:lang w:val="en-US"/>
        </w:rPr>
      </w:pPr>
      <w:r w:rsidRPr="008F3864">
        <w:rPr>
          <w:sz w:val="24"/>
          <w:szCs w:val="24"/>
          <w:lang w:val="en"/>
        </w:rPr>
        <w:lastRenderedPageBreak/>
        <w:t xml:space="preserve"> compliance of the Bank's activities with the current legislation;</w:t>
      </w:r>
    </w:p>
    <w:p w14:paraId="0830CF19" w14:textId="77777777" w:rsidR="00E63760" w:rsidRPr="002C5554" w:rsidRDefault="00E15939" w:rsidP="008F3864">
      <w:pPr>
        <w:pStyle w:val="100"/>
        <w:numPr>
          <w:ilvl w:val="0"/>
          <w:numId w:val="29"/>
        </w:numPr>
        <w:tabs>
          <w:tab w:val="left" w:pos="851"/>
        </w:tabs>
        <w:ind w:left="0" w:firstLine="567"/>
        <w:contextualSpacing/>
        <w:rPr>
          <w:sz w:val="24"/>
          <w:szCs w:val="24"/>
          <w:lang w:val="en-US"/>
        </w:rPr>
      </w:pPr>
      <w:r w:rsidRPr="008F3864">
        <w:rPr>
          <w:sz w:val="24"/>
          <w:szCs w:val="24"/>
          <w:lang w:val="en"/>
        </w:rPr>
        <w:t xml:space="preserve"> operations performed by automated systems used by the Bank's structural divisions;</w:t>
      </w:r>
    </w:p>
    <w:p w14:paraId="5385B30B" w14:textId="77777777" w:rsidR="00E63760" w:rsidRPr="002C5554" w:rsidRDefault="00E15939" w:rsidP="008F3864">
      <w:pPr>
        <w:pStyle w:val="100"/>
        <w:numPr>
          <w:ilvl w:val="0"/>
          <w:numId w:val="29"/>
        </w:numPr>
        <w:tabs>
          <w:tab w:val="left" w:pos="851"/>
        </w:tabs>
        <w:ind w:left="0" w:firstLine="567"/>
        <w:contextualSpacing/>
        <w:rPr>
          <w:sz w:val="24"/>
          <w:szCs w:val="24"/>
          <w:lang w:val="en-US"/>
        </w:rPr>
      </w:pPr>
      <w:r w:rsidRPr="008F3864">
        <w:rPr>
          <w:sz w:val="24"/>
          <w:szCs w:val="24"/>
          <w:lang w:val="en"/>
        </w:rPr>
        <w:t xml:space="preserve"> occupational safety and information security;</w:t>
      </w:r>
    </w:p>
    <w:p w14:paraId="4B329958" w14:textId="77777777" w:rsidR="00E63760" w:rsidRPr="002C5554" w:rsidRDefault="00E15939" w:rsidP="008F3864">
      <w:pPr>
        <w:pStyle w:val="100"/>
        <w:numPr>
          <w:ilvl w:val="0"/>
          <w:numId w:val="29"/>
        </w:numPr>
        <w:tabs>
          <w:tab w:val="left" w:pos="851"/>
        </w:tabs>
        <w:ind w:left="0" w:firstLine="567"/>
        <w:contextualSpacing/>
        <w:rPr>
          <w:sz w:val="24"/>
          <w:szCs w:val="24"/>
          <w:lang w:val="en-US"/>
        </w:rPr>
      </w:pPr>
      <w:r w:rsidRPr="008F3864">
        <w:rPr>
          <w:sz w:val="24"/>
          <w:szCs w:val="24"/>
          <w:lang w:val="en"/>
        </w:rPr>
        <w:t xml:space="preserve"> measures taken in case of violations in the continuous activity of the Bank;</w:t>
      </w:r>
    </w:p>
    <w:p w14:paraId="6F319178" w14:textId="77777777" w:rsidR="00E63760" w:rsidRPr="002C5554" w:rsidRDefault="00E15939" w:rsidP="008F3864">
      <w:pPr>
        <w:pStyle w:val="100"/>
        <w:numPr>
          <w:ilvl w:val="0"/>
          <w:numId w:val="29"/>
        </w:numPr>
        <w:tabs>
          <w:tab w:val="left" w:pos="851"/>
        </w:tabs>
        <w:ind w:left="0" w:firstLine="567"/>
        <w:contextualSpacing/>
        <w:rPr>
          <w:sz w:val="24"/>
          <w:szCs w:val="24"/>
          <w:lang w:val="en-US"/>
        </w:rPr>
      </w:pPr>
      <w:r w:rsidRPr="008F3864">
        <w:rPr>
          <w:sz w:val="24"/>
          <w:szCs w:val="24"/>
          <w:lang w:val="en"/>
        </w:rPr>
        <w:t xml:space="preserve"> events that may affect the activities of the Bank's structural divisions, the consequences of which are beyond the control of these divisions;</w:t>
      </w:r>
    </w:p>
    <w:p w14:paraId="5BA693E4" w14:textId="77777777" w:rsidR="00E63760" w:rsidRPr="002C5554" w:rsidRDefault="00E15939" w:rsidP="008F3864">
      <w:pPr>
        <w:pStyle w:val="100"/>
        <w:numPr>
          <w:ilvl w:val="0"/>
          <w:numId w:val="29"/>
        </w:numPr>
        <w:tabs>
          <w:tab w:val="left" w:pos="851"/>
        </w:tabs>
        <w:ind w:left="0" w:firstLine="567"/>
        <w:contextualSpacing/>
        <w:rPr>
          <w:sz w:val="24"/>
          <w:szCs w:val="24"/>
          <w:lang w:val="en-US"/>
        </w:rPr>
      </w:pPr>
      <w:r w:rsidRPr="008F3864">
        <w:rPr>
          <w:sz w:val="24"/>
          <w:szCs w:val="24"/>
          <w:lang w:val="en"/>
        </w:rPr>
        <w:t xml:space="preserve"> services provided to the Bank under outsourcing agreements, agency agreements, and other agreements.</w:t>
      </w:r>
    </w:p>
    <w:p w14:paraId="20846FDE" w14:textId="77777777" w:rsidR="00E63760" w:rsidRPr="008F3864" w:rsidRDefault="00E15939" w:rsidP="008F3864">
      <w:pPr>
        <w:ind w:firstLine="567"/>
        <w:jc w:val="both"/>
        <w:rPr>
          <w:lang w:val="kk-KZ"/>
        </w:rPr>
      </w:pPr>
      <w:r w:rsidRPr="008F3864">
        <w:rPr>
          <w:lang w:val="en"/>
        </w:rPr>
        <w:t>The Bank's operational risk management process should also take into account other issues that may have a significant impact on the Bank's operational processes.</w:t>
      </w:r>
    </w:p>
    <w:p w14:paraId="13C4498E" w14:textId="77777777" w:rsidR="00E63760" w:rsidRPr="008F3864" w:rsidRDefault="00E15939" w:rsidP="008F3864">
      <w:pPr>
        <w:ind w:firstLine="567"/>
        <w:jc w:val="both"/>
        <w:rPr>
          <w:lang w:val="kk-KZ"/>
        </w:rPr>
      </w:pPr>
      <w:r w:rsidRPr="008F3864">
        <w:rPr>
          <w:lang w:val="en"/>
        </w:rPr>
        <w:t>The Bank ensures timely generation and presentation of operational risk management information for monitoring.</w:t>
      </w:r>
    </w:p>
    <w:p w14:paraId="6C467F03" w14:textId="77777777" w:rsidR="00E63760" w:rsidRPr="008F3864" w:rsidRDefault="00E15939" w:rsidP="008F3864">
      <w:pPr>
        <w:ind w:firstLine="567"/>
        <w:jc w:val="both"/>
        <w:rPr>
          <w:lang w:val="kk-KZ"/>
        </w:rPr>
      </w:pPr>
      <w:r w:rsidRPr="008F3864">
        <w:rPr>
          <w:lang w:val="en"/>
        </w:rPr>
        <w:t xml:space="preserve">The ICD collects and analyzes external data on losses and events on an ongoing basis by monitoring external sources of information and collecting data on operational risk events occurring outside the Bank in Kazakhstan and around the world, which are publicly available (reports, press releases), and/or using specialized external databases on operational risks. losses of financial organizations. External data on operational loss events allows you to obtain information about the amount of losses, the business process that caused the losses, the causes and circumstances of the events that caused these losses, and other information necessary to assess operational risk in the Bank. </w:t>
      </w:r>
    </w:p>
    <w:p w14:paraId="6783794B" w14:textId="77777777" w:rsidR="00E63760" w:rsidRPr="008F3864" w:rsidRDefault="00E15939" w:rsidP="008F3864">
      <w:pPr>
        <w:ind w:firstLine="567"/>
        <w:jc w:val="both"/>
        <w:rPr>
          <w:lang w:val="kk-KZ"/>
        </w:rPr>
      </w:pPr>
      <w:r w:rsidRPr="008F3864">
        <w:rPr>
          <w:lang w:val="en"/>
        </w:rPr>
        <w:t>Collection and analysis of external loss data is the process of assessing the Bank's exposure to risk, based on the collection and analysis of information about cases of losses in other organizations. The Bank may compare external loss data with internal loss data to identify potential deficiencies in the control system or risks.</w:t>
      </w:r>
    </w:p>
    <w:p w14:paraId="39D11EF8" w14:textId="77777777" w:rsidR="00E63760" w:rsidRPr="008F3864" w:rsidRDefault="00E15939" w:rsidP="008F3864">
      <w:pPr>
        <w:ind w:firstLine="567"/>
        <w:jc w:val="both"/>
        <w:rPr>
          <w:lang w:val="kk-KZ"/>
        </w:rPr>
      </w:pPr>
      <w:r w:rsidRPr="008F3864">
        <w:rPr>
          <w:lang w:val="en"/>
        </w:rPr>
        <w:t xml:space="preserve">The external data on operational risk events includes (if any) cumulative operating losses, timing, loss coverage data, as well as relevant episodic information about loss cases in other banks. </w:t>
      </w:r>
    </w:p>
    <w:p w14:paraId="269DD913" w14:textId="77777777" w:rsidR="00E63760" w:rsidRPr="008F3864" w:rsidRDefault="00E15939" w:rsidP="008F3864">
      <w:pPr>
        <w:ind w:firstLine="567"/>
        <w:jc w:val="both"/>
        <w:rPr>
          <w:lang w:val="kk-KZ"/>
        </w:rPr>
      </w:pPr>
      <w:r w:rsidRPr="008F3864">
        <w:rPr>
          <w:lang w:val="en"/>
        </w:rPr>
        <w:t>External data on operational risk incidents can be used as input for self-assessment, scenario analysis, etc.</w:t>
      </w:r>
    </w:p>
    <w:p w14:paraId="109D8499" w14:textId="77777777" w:rsidR="00E63760" w:rsidRPr="008F3864" w:rsidRDefault="00E15939" w:rsidP="008F3864">
      <w:pPr>
        <w:ind w:firstLine="567"/>
        <w:jc w:val="both"/>
        <w:rPr>
          <w:lang w:val="kk-KZ"/>
        </w:rPr>
      </w:pPr>
      <w:r w:rsidRPr="008F3864">
        <w:rPr>
          <w:lang w:val="en"/>
        </w:rPr>
        <w:t>ICD analyzes the data obtained, the results of the analysis are provided as part of the presentation of management reports on operational risk. During the preparation of the report, the structural divisions of the Bank, if necessary, are required to provide the required information at the request of the Responsible Department.</w:t>
      </w:r>
    </w:p>
    <w:p w14:paraId="05F49B21" w14:textId="77777777" w:rsidR="00E63760" w:rsidRPr="008F3864" w:rsidRDefault="00E15939" w:rsidP="008F3864">
      <w:pPr>
        <w:ind w:firstLine="567"/>
        <w:jc w:val="both"/>
        <w:rPr>
          <w:lang w:val="kk-KZ"/>
        </w:rPr>
      </w:pPr>
      <w:r w:rsidRPr="008F3864">
        <w:rPr>
          <w:lang w:val="en"/>
        </w:rPr>
        <w:t>The Risk Control Self Assessment is used to identify and assess significant (main/potential) operational risks, the level of operational risk management in the Bank's structural divisions, and to assess the effectiveness of subsequent control and identified risks (identifying deficiencies in control systems, assessing the quality of the control environment).</w:t>
      </w:r>
    </w:p>
    <w:p w14:paraId="13F007A6" w14:textId="77777777" w:rsidR="00E63760" w:rsidRPr="008F3864" w:rsidRDefault="00E15939" w:rsidP="008F3864">
      <w:pPr>
        <w:ind w:firstLine="567"/>
        <w:jc w:val="both"/>
        <w:rPr>
          <w:lang w:val="kk-KZ"/>
        </w:rPr>
      </w:pPr>
      <w:r w:rsidRPr="008F3864">
        <w:rPr>
          <w:lang w:val="en"/>
        </w:rPr>
        <w:t xml:space="preserve">Self-assessment of operational risks can be carried out both in relation to a business process (including according to the Bank's IR regulating the definition of business processes and risks), and in relation to an internal document, a new product/service, software, etc. according to the recommendation of the ICD. Self-assessment of business processes can also be carried out by the risk coordinators of the branches/central office. Self-assessment of operational risk for an internal document, new product/service, software can also be carried out by the owner of the internal document (owner of the business process/subprocess), new product/ service, software. Self-assessment of operational risks can be carried out by the heads of structural divisions. </w:t>
      </w:r>
    </w:p>
    <w:p w14:paraId="7A6229CB" w14:textId="77777777" w:rsidR="00E63760" w:rsidRPr="008F3864" w:rsidRDefault="00E15939" w:rsidP="008F3864">
      <w:pPr>
        <w:ind w:firstLine="567"/>
        <w:jc w:val="both"/>
        <w:rPr>
          <w:lang w:val="kk-KZ"/>
        </w:rPr>
      </w:pPr>
      <w:r w:rsidRPr="008F3864">
        <w:rPr>
          <w:lang w:val="en"/>
        </w:rPr>
        <w:t xml:space="preserve">The ICD develops separate questionnaires for all types of self-assessment. </w:t>
      </w:r>
    </w:p>
    <w:p w14:paraId="22EA3D52" w14:textId="77777777" w:rsidR="00E63760" w:rsidRPr="008F3864" w:rsidRDefault="00E15939" w:rsidP="008F3864">
      <w:pPr>
        <w:ind w:firstLine="567"/>
        <w:jc w:val="both"/>
        <w:rPr>
          <w:lang w:val="kk-KZ"/>
        </w:rPr>
      </w:pPr>
      <w:r w:rsidRPr="008F3864">
        <w:rPr>
          <w:lang w:val="en"/>
        </w:rPr>
        <w:t xml:space="preserve">The results of the self-assessment are used and can be used as input data for scenario analysis and the development of key operational risk indicators, etc. </w:t>
      </w:r>
    </w:p>
    <w:p w14:paraId="0F3F2DE9" w14:textId="77777777" w:rsidR="00E63760" w:rsidRPr="008F3864" w:rsidRDefault="00E15939" w:rsidP="008F3864">
      <w:pPr>
        <w:ind w:firstLine="567"/>
        <w:jc w:val="both"/>
        <w:rPr>
          <w:lang w:val="kk-KZ"/>
        </w:rPr>
      </w:pPr>
      <w:r w:rsidRPr="008F3864">
        <w:rPr>
          <w:lang w:val="en"/>
        </w:rPr>
        <w:t xml:space="preserve">The provisions of this paragraph are described in more detail in the Bank's internal document regulating the use of the operational risk self-assessment tool in operational risk management. </w:t>
      </w:r>
    </w:p>
    <w:p w14:paraId="05D10330" w14:textId="77777777" w:rsidR="00E63760" w:rsidRPr="008F3864" w:rsidRDefault="00E15939" w:rsidP="008F3864">
      <w:pPr>
        <w:ind w:firstLine="567"/>
        <w:jc w:val="both"/>
        <w:rPr>
          <w:lang w:val="kk-KZ"/>
        </w:rPr>
      </w:pPr>
      <w:r w:rsidRPr="008F3864">
        <w:rPr>
          <w:lang w:val="en"/>
        </w:rPr>
        <w:t>Description (regulation) of business processes:</w:t>
      </w:r>
    </w:p>
    <w:p w14:paraId="3E73FD1D" w14:textId="77777777" w:rsidR="00E63760" w:rsidRPr="008F3864" w:rsidRDefault="00E15939" w:rsidP="008F3864">
      <w:pPr>
        <w:ind w:firstLine="567"/>
        <w:jc w:val="both"/>
        <w:rPr>
          <w:lang w:val="kk-KZ"/>
        </w:rPr>
      </w:pPr>
      <w:r w:rsidRPr="008F3864">
        <w:rPr>
          <w:lang w:val="en"/>
        </w:rPr>
        <w:lastRenderedPageBreak/>
        <w:t>A process in which the structural units that make up the first line of defense determine the main stages of business processes, types of activities, and organizational functions that help identify operational risks, risk interdependencies, and deficiencies in control and risk management;</w:t>
      </w:r>
    </w:p>
    <w:p w14:paraId="02C20F9D" w14:textId="77777777" w:rsidR="00E63760" w:rsidRPr="008F3864" w:rsidRDefault="00E15939" w:rsidP="008F3864">
      <w:pPr>
        <w:ind w:firstLine="567"/>
        <w:jc w:val="both"/>
        <w:rPr>
          <w:lang w:val="kk-KZ"/>
        </w:rPr>
      </w:pPr>
      <w:r w:rsidRPr="008F3864">
        <w:rPr>
          <w:lang w:val="en"/>
        </w:rPr>
        <w:t>Structural divisions describe and regulate their business processes in the course of their activities. If there is a lack of regulation of business processes, structural divisions are required to regulate and describe business processes.</w:t>
      </w:r>
    </w:p>
    <w:p w14:paraId="69DDB7D9" w14:textId="77777777" w:rsidR="00E63760" w:rsidRPr="008F3864" w:rsidRDefault="00E15939" w:rsidP="008F3864">
      <w:pPr>
        <w:ind w:firstLine="567"/>
        <w:jc w:val="both"/>
        <w:rPr>
          <w:lang w:val="kk-KZ"/>
        </w:rPr>
      </w:pPr>
      <w:r w:rsidRPr="008F3864">
        <w:rPr>
          <w:lang w:val="en"/>
        </w:rPr>
        <w:t>All activities, processes, and systems should be regulated and described.</w:t>
      </w:r>
    </w:p>
    <w:p w14:paraId="79E2FA6A" w14:textId="77777777" w:rsidR="00E63760" w:rsidRPr="008F3864" w:rsidRDefault="00E15939" w:rsidP="008F3864">
      <w:pPr>
        <w:ind w:firstLine="567"/>
        <w:jc w:val="both"/>
        <w:rPr>
          <w:lang w:val="kk-KZ"/>
        </w:rPr>
      </w:pPr>
      <w:r w:rsidRPr="008F3864">
        <w:rPr>
          <w:lang w:val="en"/>
        </w:rPr>
        <w:t>Application of key operational risk indicators:</w:t>
      </w:r>
    </w:p>
    <w:p w14:paraId="13ADABA6" w14:textId="77777777" w:rsidR="00E63760" w:rsidRPr="008F3864" w:rsidRDefault="00E15939" w:rsidP="008F3864">
      <w:pPr>
        <w:ind w:firstLine="567"/>
        <w:jc w:val="both"/>
        <w:rPr>
          <w:lang w:val="kk-KZ"/>
        </w:rPr>
      </w:pPr>
      <w:r w:rsidRPr="008F3864">
        <w:rPr>
          <w:lang w:val="en"/>
        </w:rPr>
        <w:t xml:space="preserve">Key operational risk indicators are values (values) and/or statistical data that provide insight into the operational risk profile to which the bank is exposed. Key operational risk indicators are used to monitor changes in the level of operational risk in the bank, which, in turn, ensures the identification of deficiencies in processes, organization, failures and potential losses; </w:t>
      </w:r>
    </w:p>
    <w:p w14:paraId="089EAB97" w14:textId="77777777" w:rsidR="00E63760" w:rsidRPr="008F3864" w:rsidRDefault="00E15939" w:rsidP="008F3864">
      <w:pPr>
        <w:ind w:firstLine="567"/>
        <w:jc w:val="both"/>
        <w:rPr>
          <w:lang w:val="kk-KZ"/>
        </w:rPr>
      </w:pPr>
      <w:r w:rsidRPr="008F3864">
        <w:rPr>
          <w:lang w:val="en"/>
        </w:rPr>
        <w:t>The provisions of this subparagraph are described in more detail in the Bank's internal document regulating the use of key operational risk indicators in operational risk management.</w:t>
      </w:r>
    </w:p>
    <w:p w14:paraId="4A2980BE" w14:textId="77777777" w:rsidR="00E63760" w:rsidRPr="008F3864" w:rsidRDefault="00E15939" w:rsidP="008F3864">
      <w:pPr>
        <w:ind w:firstLine="567"/>
        <w:jc w:val="both"/>
        <w:rPr>
          <w:lang w:val="kk-KZ"/>
        </w:rPr>
      </w:pPr>
      <w:r w:rsidRPr="008F3864">
        <w:rPr>
          <w:lang w:val="en"/>
        </w:rPr>
        <w:t>Scenario analysis of operational risk:</w:t>
      </w:r>
    </w:p>
    <w:p w14:paraId="353CDE67" w14:textId="77777777" w:rsidR="00E63760" w:rsidRPr="008F3864" w:rsidRDefault="00E15939" w:rsidP="008F3864">
      <w:pPr>
        <w:ind w:firstLine="567"/>
        <w:jc w:val="both"/>
        <w:rPr>
          <w:lang w:val="kk-KZ"/>
        </w:rPr>
      </w:pPr>
      <w:r w:rsidRPr="008F3864">
        <w:rPr>
          <w:lang w:val="en"/>
        </w:rPr>
        <w:t xml:space="preserve">Within the framework of this method, based on expert analysis for business lines, certain types of banking operations/business processes, possible scenarios of events or circumstances leading to operational losses are determined, which are then used to assess operational risk (including incidents from an external database). </w:t>
      </w:r>
    </w:p>
    <w:p w14:paraId="7B2CE60A" w14:textId="77777777" w:rsidR="00E63760" w:rsidRPr="008F3864" w:rsidRDefault="00E15939" w:rsidP="008F3864">
      <w:pPr>
        <w:ind w:firstLine="567"/>
        <w:jc w:val="both"/>
        <w:rPr>
          <w:lang w:val="kk-KZ"/>
        </w:rPr>
      </w:pPr>
      <w:r w:rsidRPr="008F3864">
        <w:rPr>
          <w:lang w:val="en"/>
        </w:rPr>
        <w:t xml:space="preserve">ICD, based on information obtained from external data, provides information on past losses/events that occurred in other banks/organizations. Among other things, data on possible scenarios for external events (markets, events, conditions) that have a significant impact on decision-making in the Bank is analyzed. </w:t>
      </w:r>
    </w:p>
    <w:p w14:paraId="0481F88F" w14:textId="77777777" w:rsidR="00E63760" w:rsidRPr="008F3864" w:rsidRDefault="00E15939" w:rsidP="008F3864">
      <w:pPr>
        <w:ind w:firstLine="567"/>
        <w:jc w:val="both"/>
        <w:rPr>
          <w:lang w:val="kk-KZ"/>
        </w:rPr>
      </w:pPr>
      <w:r w:rsidRPr="008F3864">
        <w:rPr>
          <w:lang w:val="en"/>
        </w:rPr>
        <w:t>Based on these data, the Bank's structural divisions analyze the degree of the Bank's exposure to operational risks, in accordance with the losses/events of other banks/organizations. Information on the request of the ICD is provided by structural divisions within 5 (five) business days from the date of receipt of the request by entering data into the specialized RPM software. ICD analyzes the data obtained and, based on this analysis, provides reports on this instrument as part of the management reporting.</w:t>
      </w:r>
    </w:p>
    <w:p w14:paraId="09294139" w14:textId="77777777" w:rsidR="00E63760" w:rsidRPr="008F3864" w:rsidRDefault="00E15939" w:rsidP="008F3864">
      <w:pPr>
        <w:ind w:firstLine="567"/>
        <w:jc w:val="both"/>
        <w:rPr>
          <w:lang w:val="kk-KZ"/>
        </w:rPr>
      </w:pPr>
      <w:r w:rsidRPr="008F3864">
        <w:rPr>
          <w:lang w:val="en"/>
        </w:rPr>
        <w:t>Use of audit results:</w:t>
      </w:r>
    </w:p>
    <w:p w14:paraId="0EB7CED3" w14:textId="77777777" w:rsidR="00E63760" w:rsidRPr="008F3864" w:rsidRDefault="00E15939" w:rsidP="008F3864">
      <w:pPr>
        <w:ind w:firstLine="567"/>
        <w:jc w:val="both"/>
        <w:rPr>
          <w:lang w:val="kk-KZ"/>
        </w:rPr>
      </w:pPr>
      <w:r w:rsidRPr="008F3864">
        <w:rPr>
          <w:lang w:val="en"/>
        </w:rPr>
        <w:t xml:space="preserve">The audit results are an additional source of information in the bank's operational risk management process. </w:t>
      </w:r>
    </w:p>
    <w:p w14:paraId="3C862116" w14:textId="77777777" w:rsidR="00E63760" w:rsidRPr="008F3864" w:rsidRDefault="00E15939" w:rsidP="008F3864">
      <w:pPr>
        <w:ind w:firstLine="567"/>
        <w:jc w:val="both"/>
        <w:rPr>
          <w:lang w:val="kk-KZ"/>
        </w:rPr>
      </w:pPr>
      <w:r w:rsidRPr="008F3864">
        <w:rPr>
          <w:lang w:val="en"/>
        </w:rPr>
        <w:t xml:space="preserve">When reviewing the audit results, the ICD provides its comments and suggestions, if any. </w:t>
      </w:r>
    </w:p>
    <w:p w14:paraId="00B017D2" w14:textId="77777777" w:rsidR="00E63760" w:rsidRPr="008F3864" w:rsidRDefault="00E15939" w:rsidP="008F3864">
      <w:pPr>
        <w:ind w:firstLine="567"/>
        <w:jc w:val="both"/>
        <w:rPr>
          <w:lang w:val="kk-KZ"/>
        </w:rPr>
      </w:pPr>
      <w:r w:rsidRPr="008F3864">
        <w:rPr>
          <w:lang w:val="en"/>
        </w:rPr>
        <w:t>Operational risk map:</w:t>
      </w:r>
    </w:p>
    <w:p w14:paraId="7E8E8A0F" w14:textId="77777777" w:rsidR="00E63760" w:rsidRPr="008F3864" w:rsidRDefault="00E15939" w:rsidP="008F3864">
      <w:pPr>
        <w:ind w:firstLine="567"/>
        <w:jc w:val="both"/>
        <w:rPr>
          <w:lang w:val="kk-KZ"/>
        </w:rPr>
      </w:pPr>
      <w:r w:rsidRPr="008F3864">
        <w:rPr>
          <w:lang w:val="en"/>
        </w:rPr>
        <w:t xml:space="preserve">Operational risk map is a description of the types and level of risks (graphical representation) inherent in various business processes and (or) structural divisions of the Bank to identify weaknesses, identify key operational risks, and rank them based on risk assessment with prioritization of subsequent actions to manage operational risks. </w:t>
      </w:r>
    </w:p>
    <w:p w14:paraId="3D535930" w14:textId="77777777" w:rsidR="00AA7149" w:rsidRPr="008F3864" w:rsidRDefault="00E15939" w:rsidP="008F3864">
      <w:pPr>
        <w:ind w:firstLine="567"/>
        <w:jc w:val="both"/>
        <w:rPr>
          <w:lang w:val="kk-KZ"/>
        </w:rPr>
      </w:pPr>
      <w:r w:rsidRPr="008F3864">
        <w:rPr>
          <w:lang w:val="en"/>
        </w:rPr>
        <w:t>The Operational Risk Map is a tool for analyzing the Bank's operational risks based on registered operational risk incidents during the period. Drawing up an operational risk map helps identify weaknesses and provides a graphical representation of the Bank's operational risk situation.</w:t>
      </w:r>
    </w:p>
    <w:p w14:paraId="41914F7E" w14:textId="77777777" w:rsidR="008F3864" w:rsidRPr="008F3864" w:rsidRDefault="00E15939" w:rsidP="008F3864">
      <w:pPr>
        <w:ind w:firstLine="567"/>
        <w:jc w:val="both"/>
        <w:rPr>
          <w:lang w:val="kk-KZ"/>
        </w:rPr>
      </w:pPr>
      <w:r w:rsidRPr="008F3864">
        <w:rPr>
          <w:lang w:val="en"/>
        </w:rPr>
        <w:t>Risks are assessed in terms of the probability or frequency of their occurrence, the impact of negative consequences in their implementation.</w:t>
      </w:r>
    </w:p>
    <w:p w14:paraId="7EA3726E" w14:textId="77777777" w:rsidR="002832A7" w:rsidRPr="002832A7" w:rsidRDefault="00E15939" w:rsidP="002832A7">
      <w:pPr>
        <w:ind w:firstLine="567"/>
        <w:jc w:val="both"/>
        <w:rPr>
          <w:lang w:val="kk-KZ"/>
        </w:rPr>
      </w:pPr>
      <w:r w:rsidRPr="002832A7">
        <w:rPr>
          <w:lang w:val="en"/>
        </w:rPr>
        <w:t>For the purpose of assessing operational risk using the Basic Indicators Method (BIA), the Bank reserves the required amount of capital to cover operational risk in the amount of a fixed percentage of the average annual gross income over the past three years. Gross income is an indicator reflecting the scale of financial transactions and, accordingly, the potential level of losses that a financial institution may incur under the influence of operational risk.</w:t>
      </w:r>
    </w:p>
    <w:p w14:paraId="5F69E81C" w14:textId="77777777" w:rsidR="002832A7" w:rsidRPr="002832A7" w:rsidRDefault="00E15939" w:rsidP="002832A7">
      <w:pPr>
        <w:ind w:firstLine="567"/>
        <w:jc w:val="both"/>
        <w:rPr>
          <w:lang w:val="kk-KZ"/>
        </w:rPr>
      </w:pPr>
      <w:r w:rsidRPr="002832A7">
        <w:rPr>
          <w:lang w:val="en"/>
        </w:rPr>
        <w:t>According to the Standardized methodology (TSA), all the Bank's activities are classified into business areas. Similarly to the BIA method, gross income is calculated for each business line. Thus, the likely scale of operational risk exposure across business lines is assessed. The amount of capital required is calculated by multiplying gross income by the corresponding coefficient determined by the Basel Committee for each business line.</w:t>
      </w:r>
    </w:p>
    <w:p w14:paraId="7CFA67A4" w14:textId="77777777" w:rsidR="005F6326" w:rsidRPr="005F6326" w:rsidRDefault="00E15939" w:rsidP="005F6326">
      <w:pPr>
        <w:ind w:firstLine="567"/>
        <w:jc w:val="both"/>
        <w:rPr>
          <w:lang w:val="kk-KZ"/>
        </w:rPr>
      </w:pPr>
      <w:r w:rsidRPr="005F6326">
        <w:rPr>
          <w:lang w:val="en"/>
        </w:rPr>
        <w:lastRenderedPageBreak/>
        <w:t>Information on credit risk management is disclosed in Chapter 7.</w:t>
      </w:r>
    </w:p>
    <w:p w14:paraId="2D66E6E1" w14:textId="77777777" w:rsidR="00985E07" w:rsidRPr="002C5554" w:rsidRDefault="00985E07" w:rsidP="00482084">
      <w:pPr>
        <w:ind w:firstLine="709"/>
        <w:jc w:val="both"/>
        <w:rPr>
          <w:color w:val="1F3864" w:themeColor="accent5" w:themeShade="80"/>
          <w:lang w:val="en-US"/>
        </w:rPr>
      </w:pPr>
    </w:p>
    <w:p w14:paraId="5FB41995" w14:textId="77777777" w:rsidR="00E31211" w:rsidRPr="002C5554" w:rsidRDefault="00E15939">
      <w:pPr>
        <w:spacing w:line="259" w:lineRule="auto"/>
        <w:rPr>
          <w:b/>
          <w:iCs/>
          <w:lang w:val="en-US"/>
        </w:rPr>
      </w:pPr>
      <w:r w:rsidRPr="002C5554">
        <w:rPr>
          <w:lang w:val="en-US"/>
        </w:rPr>
        <w:br w:type="page"/>
      </w:r>
    </w:p>
    <w:p w14:paraId="1B464CC9" w14:textId="77777777" w:rsidR="00A83CD2" w:rsidRPr="002C5554" w:rsidRDefault="00E15939" w:rsidP="00A83CD2">
      <w:pPr>
        <w:pStyle w:val="N10"/>
        <w:ind w:left="0" w:firstLine="0"/>
        <w:rPr>
          <w:rFonts w:cs="Times New Roman"/>
          <w:sz w:val="24"/>
          <w:szCs w:val="24"/>
        </w:rPr>
      </w:pPr>
      <w:bookmarkStart w:id="7" w:name="_Toc256000004"/>
      <w:r>
        <w:rPr>
          <w:rFonts w:cs="Times New Roman"/>
          <w:sz w:val="24"/>
          <w:szCs w:val="24"/>
          <w:lang w:val="en"/>
        </w:rPr>
        <w:lastRenderedPageBreak/>
        <w:t>6. Information about the Bank's equity</w:t>
      </w:r>
      <w:bookmarkEnd w:id="7"/>
    </w:p>
    <w:p w14:paraId="72FC84D2" w14:textId="77777777" w:rsidR="00606035" w:rsidRPr="002C5554" w:rsidRDefault="00606035" w:rsidP="00AB4FAA">
      <w:pPr>
        <w:pStyle w:val="pj"/>
        <w:rPr>
          <w:rStyle w:val="s19"/>
          <w:color w:val="000000" w:themeColor="text1"/>
          <w:lang w:val="en-US"/>
        </w:rPr>
      </w:pPr>
    </w:p>
    <w:p w14:paraId="5C806945" w14:textId="77777777" w:rsidR="00606035" w:rsidRPr="002C5554" w:rsidRDefault="00E15939" w:rsidP="004142F8">
      <w:pPr>
        <w:ind w:firstLine="567"/>
        <w:jc w:val="both"/>
        <w:rPr>
          <w:rFonts w:eastAsiaTheme="minorHAnsi"/>
          <w:lang w:val="en-US"/>
        </w:rPr>
      </w:pPr>
      <w:r w:rsidRPr="00350525">
        <w:rPr>
          <w:rFonts w:eastAsiaTheme="minorHAnsi"/>
          <w:lang w:val="en"/>
        </w:rPr>
        <w:t>The main objective of the Bank's capital management is to ensure that the Bank complies with external capital requirements and maintains a high credit rating and capital adequacy standards necessary to operate and maximize shareholder value.</w:t>
      </w:r>
    </w:p>
    <w:p w14:paraId="45535502" w14:textId="77777777" w:rsidR="00606035" w:rsidRPr="002C5554" w:rsidRDefault="00E15939" w:rsidP="00606035">
      <w:pPr>
        <w:ind w:firstLine="567"/>
        <w:jc w:val="both"/>
        <w:rPr>
          <w:rFonts w:eastAsiaTheme="minorHAnsi"/>
          <w:lang w:val="en-US"/>
        </w:rPr>
      </w:pPr>
      <w:r w:rsidRPr="00350525">
        <w:rPr>
          <w:rFonts w:eastAsiaTheme="minorHAnsi"/>
          <w:lang w:val="en"/>
        </w:rPr>
        <w:t>The Bank implements an integrated approach to capital management, ensuring compliance with the current market situation, long-term strategy and the scale of the Bank's operations. The capital management system is aimed at effective monitoring and control of the level of equity adequacy, which includes:</w:t>
      </w:r>
    </w:p>
    <w:p w14:paraId="28F0F882" w14:textId="77777777" w:rsidR="00606035" w:rsidRPr="00350525" w:rsidRDefault="00E15939" w:rsidP="004142F8">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lang w:val="en"/>
        </w:rPr>
        <w:t>capital management policy;</w:t>
      </w:r>
    </w:p>
    <w:p w14:paraId="3F7A5158" w14:textId="77777777" w:rsidR="00606035" w:rsidRPr="00350525" w:rsidRDefault="00E15939" w:rsidP="004142F8">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lang w:val="en"/>
        </w:rPr>
        <w:t>capital financing plan;</w:t>
      </w:r>
    </w:p>
    <w:p w14:paraId="528F66B3" w14:textId="77777777" w:rsidR="00606035" w:rsidRPr="002C5554" w:rsidRDefault="00E15939" w:rsidP="004142F8">
      <w:pPr>
        <w:pStyle w:val="aa"/>
        <w:numPr>
          <w:ilvl w:val="0"/>
          <w:numId w:val="41"/>
        </w:numPr>
        <w:shd w:val="clear" w:color="auto" w:fill="FFFFFF"/>
        <w:tabs>
          <w:tab w:val="left" w:pos="851"/>
        </w:tabs>
        <w:ind w:left="0" w:firstLine="567"/>
        <w:jc w:val="both"/>
        <w:rPr>
          <w:rFonts w:ascii="Times New Roman" w:hAnsi="Times New Roman" w:cs="Times New Roman"/>
          <w:sz w:val="24"/>
          <w:szCs w:val="24"/>
          <w:lang w:val="en-US"/>
        </w:rPr>
      </w:pPr>
      <w:r w:rsidRPr="00350525">
        <w:rPr>
          <w:rFonts w:ascii="Times New Roman" w:hAnsi="Times New Roman" w:cs="Times New Roman"/>
          <w:sz w:val="24"/>
          <w:szCs w:val="24"/>
          <w:lang w:val="en"/>
        </w:rPr>
        <w:t>capital adequacy monitoring and control procedures;</w:t>
      </w:r>
    </w:p>
    <w:p w14:paraId="6263B0AD" w14:textId="77777777" w:rsidR="00606035" w:rsidRPr="00350525" w:rsidRDefault="00E15939" w:rsidP="004142F8">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lang w:val="en"/>
        </w:rPr>
        <w:t xml:space="preserve">management information system; </w:t>
      </w:r>
    </w:p>
    <w:p w14:paraId="257DB9E9" w14:textId="77777777" w:rsidR="00606035" w:rsidRPr="00350525" w:rsidRDefault="00E15939" w:rsidP="004142F8">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lang w:val="en"/>
        </w:rPr>
        <w:t xml:space="preserve">internal control mechanisms; </w:t>
      </w:r>
    </w:p>
    <w:p w14:paraId="6351EA0C" w14:textId="77777777" w:rsidR="00606035" w:rsidRPr="002C5554" w:rsidRDefault="00E15939" w:rsidP="004142F8">
      <w:pPr>
        <w:pStyle w:val="aa"/>
        <w:numPr>
          <w:ilvl w:val="0"/>
          <w:numId w:val="41"/>
        </w:numPr>
        <w:shd w:val="clear" w:color="auto" w:fill="FFFFFF"/>
        <w:tabs>
          <w:tab w:val="left" w:pos="851"/>
        </w:tabs>
        <w:ind w:left="0" w:firstLine="567"/>
        <w:jc w:val="both"/>
        <w:rPr>
          <w:rFonts w:ascii="Times New Roman" w:hAnsi="Times New Roman" w:cs="Times New Roman"/>
          <w:sz w:val="24"/>
          <w:szCs w:val="24"/>
          <w:lang w:val="en-US"/>
        </w:rPr>
      </w:pPr>
      <w:r w:rsidRPr="00350525">
        <w:rPr>
          <w:rFonts w:ascii="Times New Roman" w:hAnsi="Times New Roman" w:cs="Times New Roman"/>
          <w:sz w:val="24"/>
          <w:szCs w:val="24"/>
          <w:lang w:val="en"/>
        </w:rPr>
        <w:t>regular assessment of the effectiveness of the capital management system by the internal audit department.</w:t>
      </w:r>
    </w:p>
    <w:p w14:paraId="588CB65C" w14:textId="77777777" w:rsidR="00606035" w:rsidRPr="002C5554" w:rsidRDefault="00E15939" w:rsidP="004142F8">
      <w:pPr>
        <w:ind w:firstLine="567"/>
        <w:jc w:val="both"/>
        <w:rPr>
          <w:rFonts w:eastAsiaTheme="minorHAnsi"/>
          <w:lang w:val="en-US"/>
        </w:rPr>
      </w:pPr>
      <w:r w:rsidRPr="00350525">
        <w:rPr>
          <w:rFonts w:eastAsiaTheme="minorHAnsi"/>
          <w:lang w:val="en"/>
        </w:rPr>
        <w:t xml:space="preserve">For the purposes of capital adequacy assessment, the Bank has developed a Regulation on the Internal Capital Adequacy Assessment Process (ICAAP), approved by the Board of Directors of the Bank. </w:t>
      </w:r>
    </w:p>
    <w:p w14:paraId="293CC5C2" w14:textId="77777777" w:rsidR="00606035" w:rsidRPr="002C5554" w:rsidRDefault="00E15939" w:rsidP="004142F8">
      <w:pPr>
        <w:ind w:firstLine="567"/>
        <w:jc w:val="both"/>
        <w:rPr>
          <w:rFonts w:eastAsiaTheme="minorHAnsi"/>
          <w:lang w:val="en-US"/>
        </w:rPr>
      </w:pPr>
      <w:r w:rsidRPr="00350525">
        <w:rPr>
          <w:rFonts w:eastAsiaTheme="minorHAnsi"/>
          <w:lang w:val="en"/>
        </w:rPr>
        <w:t>Within the framework of the ICAAP, the Bank carries out:</w:t>
      </w:r>
    </w:p>
    <w:p w14:paraId="1B7B7141" w14:textId="77777777" w:rsidR="00606035" w:rsidRPr="002C5554" w:rsidRDefault="00E15939" w:rsidP="00606035">
      <w:pPr>
        <w:pStyle w:val="aa"/>
        <w:numPr>
          <w:ilvl w:val="0"/>
          <w:numId w:val="41"/>
        </w:numPr>
        <w:shd w:val="clear" w:color="auto" w:fill="FFFFFF"/>
        <w:tabs>
          <w:tab w:val="left" w:pos="851"/>
        </w:tabs>
        <w:ind w:left="0" w:firstLine="567"/>
        <w:jc w:val="both"/>
        <w:rPr>
          <w:rFonts w:ascii="Times New Roman" w:hAnsi="Times New Roman" w:cs="Times New Roman"/>
          <w:sz w:val="24"/>
          <w:szCs w:val="24"/>
          <w:lang w:val="en-US"/>
        </w:rPr>
      </w:pPr>
      <w:r w:rsidRPr="00350525">
        <w:rPr>
          <w:rFonts w:ascii="Times New Roman" w:hAnsi="Times New Roman" w:cs="Times New Roman"/>
          <w:sz w:val="24"/>
          <w:szCs w:val="24"/>
          <w:lang w:val="en"/>
        </w:rPr>
        <w:t>identification, assessment and control of significant risks inherent in the Bank's activities;</w:t>
      </w:r>
    </w:p>
    <w:p w14:paraId="69B492EB" w14:textId="77777777" w:rsidR="00606035" w:rsidRPr="00350525" w:rsidRDefault="00E15939" w:rsidP="00606035">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lang w:val="en"/>
        </w:rPr>
        <w:t>strategic capital planning;</w:t>
      </w:r>
    </w:p>
    <w:p w14:paraId="4F752613" w14:textId="77777777" w:rsidR="00606035" w:rsidRPr="002C5554" w:rsidRDefault="00E15939" w:rsidP="00606035">
      <w:pPr>
        <w:pStyle w:val="aa"/>
        <w:numPr>
          <w:ilvl w:val="0"/>
          <w:numId w:val="41"/>
        </w:numPr>
        <w:shd w:val="clear" w:color="auto" w:fill="FFFFFF"/>
        <w:tabs>
          <w:tab w:val="left" w:pos="851"/>
        </w:tabs>
        <w:ind w:left="0" w:firstLine="567"/>
        <w:jc w:val="both"/>
        <w:rPr>
          <w:rFonts w:ascii="Times New Roman" w:hAnsi="Times New Roman" w:cs="Times New Roman"/>
          <w:sz w:val="24"/>
          <w:szCs w:val="24"/>
          <w:lang w:val="en-US"/>
        </w:rPr>
      </w:pPr>
      <w:r w:rsidRPr="00350525">
        <w:rPr>
          <w:rFonts w:ascii="Times New Roman" w:hAnsi="Times New Roman" w:cs="Times New Roman"/>
          <w:sz w:val="24"/>
          <w:szCs w:val="24"/>
          <w:lang w:val="en"/>
        </w:rPr>
        <w:t>stress testing of the Bank's financial stability;</w:t>
      </w:r>
    </w:p>
    <w:p w14:paraId="5C428589" w14:textId="77777777" w:rsidR="00606035" w:rsidRPr="00350525" w:rsidRDefault="00E15939" w:rsidP="00606035">
      <w:pPr>
        <w:pStyle w:val="aa"/>
        <w:numPr>
          <w:ilvl w:val="0"/>
          <w:numId w:val="41"/>
        </w:numPr>
        <w:shd w:val="clear" w:color="auto" w:fill="FFFFFF"/>
        <w:tabs>
          <w:tab w:val="left" w:pos="851"/>
        </w:tabs>
        <w:ind w:left="0" w:firstLine="567"/>
        <w:jc w:val="both"/>
        <w:rPr>
          <w:rFonts w:ascii="Times New Roman" w:hAnsi="Times New Roman" w:cs="Times New Roman"/>
          <w:sz w:val="24"/>
          <w:szCs w:val="24"/>
          <w:lang w:val="kk-KZ"/>
        </w:rPr>
      </w:pPr>
      <w:r w:rsidRPr="00350525">
        <w:rPr>
          <w:rFonts w:ascii="Times New Roman" w:hAnsi="Times New Roman" w:cs="Times New Roman"/>
          <w:sz w:val="24"/>
          <w:szCs w:val="24"/>
          <w:lang w:val="en"/>
        </w:rPr>
        <w:t>monitoring the compliance of the Bank's equity capital adequacy with regulatory requirements.</w:t>
      </w:r>
    </w:p>
    <w:p w14:paraId="7F09C26A" w14:textId="77777777" w:rsidR="00606035" w:rsidRPr="002C5554" w:rsidRDefault="00E15939" w:rsidP="00606035">
      <w:pPr>
        <w:shd w:val="clear" w:color="auto" w:fill="FFFFFF"/>
        <w:tabs>
          <w:tab w:val="left" w:pos="851"/>
        </w:tabs>
        <w:ind w:firstLine="567"/>
        <w:jc w:val="both"/>
        <w:rPr>
          <w:rFonts w:eastAsiaTheme="minorHAnsi"/>
          <w:lang w:val="en-US"/>
        </w:rPr>
      </w:pPr>
      <w:r w:rsidRPr="00350525">
        <w:rPr>
          <w:rFonts w:eastAsiaTheme="minorHAnsi"/>
          <w:lang w:val="en"/>
        </w:rPr>
        <w:t>Procedures for conducting an equity capital adequacy analysis, taking into account the Bank's current risk profile and future development plans, as well as the results of stress testing of the Bank's significant risks, to identify potential equity needs include the following activities:</w:t>
      </w:r>
    </w:p>
    <w:p w14:paraId="3474610F" w14:textId="77777777" w:rsidR="00606035" w:rsidRPr="002C5554" w:rsidRDefault="00E15939" w:rsidP="00606035">
      <w:pPr>
        <w:pStyle w:val="aa"/>
        <w:numPr>
          <w:ilvl w:val="1"/>
          <w:numId w:val="26"/>
        </w:numPr>
        <w:tabs>
          <w:tab w:val="left" w:pos="851"/>
          <w:tab w:val="left" w:pos="993"/>
          <w:tab w:val="left" w:pos="1134"/>
          <w:tab w:val="left" w:pos="1276"/>
        </w:tabs>
        <w:spacing w:line="240" w:lineRule="auto"/>
        <w:ind w:left="0" w:firstLine="567"/>
        <w:jc w:val="both"/>
        <w:rPr>
          <w:rFonts w:ascii="Times New Roman" w:hAnsi="Times New Roman"/>
          <w:sz w:val="24"/>
          <w:szCs w:val="24"/>
          <w:lang w:val="en-US"/>
        </w:rPr>
      </w:pPr>
      <w:r w:rsidRPr="00350525">
        <w:rPr>
          <w:rFonts w:ascii="Times New Roman" w:hAnsi="Times New Roman"/>
          <w:sz w:val="24"/>
          <w:szCs w:val="24"/>
          <w:lang w:val="en"/>
        </w:rPr>
        <w:t>conducting regular stress testing of the Bank's risks and assessing their cumulative impact on the Bank's equity adequacy;</w:t>
      </w:r>
    </w:p>
    <w:p w14:paraId="6FBC3C5C" w14:textId="77777777" w:rsidR="00606035" w:rsidRPr="00350525" w:rsidRDefault="00E15939" w:rsidP="00606035">
      <w:pPr>
        <w:pStyle w:val="aa"/>
        <w:numPr>
          <w:ilvl w:val="1"/>
          <w:numId w:val="26"/>
        </w:numPr>
        <w:tabs>
          <w:tab w:val="left" w:pos="851"/>
          <w:tab w:val="left" w:pos="993"/>
          <w:tab w:val="left" w:pos="1134"/>
          <w:tab w:val="left" w:pos="1276"/>
        </w:tabs>
        <w:spacing w:line="240" w:lineRule="auto"/>
        <w:ind w:left="0" w:firstLine="567"/>
        <w:jc w:val="both"/>
        <w:rPr>
          <w:rFonts w:ascii="Times New Roman" w:hAnsi="Times New Roman"/>
          <w:sz w:val="24"/>
          <w:szCs w:val="24"/>
          <w:lang w:val="kk-KZ"/>
        </w:rPr>
      </w:pPr>
      <w:r w:rsidRPr="00350525">
        <w:rPr>
          <w:rFonts w:ascii="Times New Roman" w:hAnsi="Times New Roman"/>
          <w:sz w:val="24"/>
          <w:szCs w:val="24"/>
          <w:lang w:val="en"/>
        </w:rPr>
        <w:t>calculation of current and forecast risk levels;</w:t>
      </w:r>
    </w:p>
    <w:p w14:paraId="2364934E" w14:textId="77777777" w:rsidR="00606035" w:rsidRPr="00350525" w:rsidRDefault="00E15939" w:rsidP="00606035">
      <w:pPr>
        <w:pStyle w:val="aa"/>
        <w:numPr>
          <w:ilvl w:val="1"/>
          <w:numId w:val="26"/>
        </w:numPr>
        <w:tabs>
          <w:tab w:val="left" w:pos="851"/>
          <w:tab w:val="left" w:pos="993"/>
          <w:tab w:val="left" w:pos="1134"/>
          <w:tab w:val="left" w:pos="1276"/>
        </w:tabs>
        <w:spacing w:line="240" w:lineRule="auto"/>
        <w:ind w:left="0" w:firstLine="567"/>
        <w:jc w:val="both"/>
        <w:rPr>
          <w:rFonts w:ascii="Times New Roman" w:hAnsi="Times New Roman"/>
          <w:sz w:val="24"/>
          <w:szCs w:val="24"/>
          <w:lang w:val="kk-KZ"/>
        </w:rPr>
      </w:pPr>
      <w:r w:rsidRPr="00350525">
        <w:rPr>
          <w:rFonts w:ascii="Times New Roman" w:hAnsi="Times New Roman"/>
          <w:sz w:val="24"/>
          <w:szCs w:val="24"/>
          <w:lang w:val="en"/>
        </w:rPr>
        <w:t xml:space="preserve">determining the need for capital increase in the development /adjustment of the budget /development plan /long-term strategy of the Bank; </w:t>
      </w:r>
    </w:p>
    <w:p w14:paraId="6473D0CE" w14:textId="77777777" w:rsidR="00606035" w:rsidRPr="00350525" w:rsidRDefault="00E15939" w:rsidP="00606035">
      <w:pPr>
        <w:pStyle w:val="aa"/>
        <w:numPr>
          <w:ilvl w:val="1"/>
          <w:numId w:val="26"/>
        </w:numPr>
        <w:tabs>
          <w:tab w:val="left" w:pos="851"/>
          <w:tab w:val="left" w:pos="993"/>
          <w:tab w:val="left" w:pos="1134"/>
          <w:tab w:val="left" w:pos="1276"/>
        </w:tabs>
        <w:spacing w:line="240" w:lineRule="auto"/>
        <w:ind w:left="0" w:firstLine="567"/>
        <w:jc w:val="both"/>
        <w:rPr>
          <w:rFonts w:ascii="Times New Roman" w:hAnsi="Times New Roman"/>
          <w:sz w:val="24"/>
          <w:szCs w:val="24"/>
          <w:lang w:val="kk-KZ"/>
        </w:rPr>
      </w:pPr>
      <w:r w:rsidRPr="00350525">
        <w:rPr>
          <w:rFonts w:ascii="Times New Roman" w:hAnsi="Times New Roman"/>
          <w:sz w:val="24"/>
          <w:szCs w:val="24"/>
          <w:lang w:val="en"/>
        </w:rPr>
        <w:t xml:space="preserve">approval of the Bank's budget/development plan/long-term strategy by the Board of Directors, including the Bank's intentions to change the capital level based on the risk appetite of the Bank's strategy. </w:t>
      </w:r>
    </w:p>
    <w:p w14:paraId="4A1E54E3" w14:textId="77777777" w:rsidR="00606035" w:rsidRPr="002C5554" w:rsidRDefault="00E15939" w:rsidP="00606035">
      <w:pPr>
        <w:pStyle w:val="pj"/>
        <w:rPr>
          <w:lang w:val="en-US"/>
        </w:rPr>
      </w:pPr>
      <w:r w:rsidRPr="00350525">
        <w:rPr>
          <w:rStyle w:val="s19"/>
          <w:color w:val="000000" w:themeColor="text1"/>
          <w:lang w:val="en"/>
        </w:rPr>
        <w:t>In 2025, the Bank continued to improve its risk management policy in the area of equity management in order to increase sustainability and financial flexibility in the changing economic and financial situation. The following key initiatives have been implemented:</w:t>
      </w:r>
    </w:p>
    <w:p w14:paraId="08AB7171" w14:textId="77777777" w:rsidR="00606035" w:rsidRPr="002C5554" w:rsidRDefault="00E15939" w:rsidP="00606035">
      <w:pPr>
        <w:pStyle w:val="pj"/>
        <w:rPr>
          <w:rStyle w:val="s19"/>
          <w:b/>
          <w:color w:val="000000" w:themeColor="text1"/>
          <w:lang w:val="en-US"/>
        </w:rPr>
      </w:pPr>
      <w:r w:rsidRPr="00DD256B">
        <w:rPr>
          <w:b/>
          <w:lang w:val="en"/>
        </w:rPr>
        <w:t>1. Internal methodology for validation of credit risk assessment models</w:t>
      </w:r>
    </w:p>
    <w:p w14:paraId="342BC1E3" w14:textId="77777777" w:rsidR="00606035" w:rsidRPr="002C5554" w:rsidRDefault="00E15939" w:rsidP="00606035">
      <w:pPr>
        <w:ind w:firstLine="400"/>
        <w:jc w:val="both"/>
        <w:rPr>
          <w:lang w:val="en-US"/>
        </w:rPr>
      </w:pPr>
      <w:r>
        <w:rPr>
          <w:lang w:val="en"/>
        </w:rPr>
        <w:t>According to the approved internal methodology for validating the Bank's credit risk assessment models</w:t>
      </w:r>
      <w:r w:rsidRPr="00DD256B">
        <w:rPr>
          <w:b/>
          <w:lang w:val="en"/>
        </w:rPr>
        <w:t>,</w:t>
      </w:r>
      <w:r>
        <w:rPr>
          <w:lang w:val="en"/>
        </w:rPr>
        <w:t xml:space="preserve"> a comprehensive validation and verification of the methodology and models for calculating provisions for the Bank's loan portfolio was carried out in 2025. The work included:</w:t>
      </w:r>
    </w:p>
    <w:p w14:paraId="0DB9E009" w14:textId="77777777" w:rsidR="00606035" w:rsidRPr="002C5554" w:rsidRDefault="00E15939" w:rsidP="00606035">
      <w:pPr>
        <w:ind w:firstLine="426"/>
        <w:jc w:val="both"/>
        <w:rPr>
          <w:lang w:val="en-US"/>
        </w:rPr>
      </w:pPr>
      <w:bookmarkStart w:id="8" w:name="_Hlk119923487"/>
      <w:r>
        <w:rPr>
          <w:lang w:val="en"/>
        </w:rPr>
        <w:t>1) validation and verification of the methodology and model for calculating provisions for the Bank's loan portfolio for compliance with the requirements of IFRS 9 and the legislation of the Republic of Kazakhstan</w:t>
      </w:r>
      <w:bookmarkEnd w:id="8"/>
      <w:r>
        <w:rPr>
          <w:lang w:val="en"/>
        </w:rPr>
        <w:t>;</w:t>
      </w:r>
    </w:p>
    <w:p w14:paraId="2ED46015" w14:textId="77777777" w:rsidR="00606035" w:rsidRPr="002C5554" w:rsidRDefault="00E15939" w:rsidP="00606035">
      <w:pPr>
        <w:ind w:firstLine="426"/>
        <w:jc w:val="both"/>
        <w:rPr>
          <w:lang w:val="en-US"/>
        </w:rPr>
      </w:pPr>
      <w:r>
        <w:rPr>
          <w:lang w:val="en"/>
        </w:rPr>
        <w:t xml:space="preserve">2) analysis of the discriminatory strength of calibration, predictive accuracy and stability of models based on historical data. The use of statistical tools for conducting tests. Migration matrix analysis, back-testing. </w:t>
      </w:r>
    </w:p>
    <w:p w14:paraId="2476E2EB" w14:textId="77777777" w:rsidR="00606035" w:rsidRPr="002C5554" w:rsidRDefault="00E15939" w:rsidP="00606035">
      <w:pPr>
        <w:ind w:firstLine="426"/>
        <w:jc w:val="both"/>
        <w:rPr>
          <w:lang w:val="en-US"/>
        </w:rPr>
      </w:pPr>
      <w:r>
        <w:rPr>
          <w:lang w:val="en"/>
        </w:rPr>
        <w:t xml:space="preserve">3) preparation of a report on the results of validation and verification of the methodology and model for calculating provisions of the Bank's loan portfolio with a description of inconsistencies </w:t>
      </w:r>
      <w:r>
        <w:rPr>
          <w:lang w:val="en"/>
        </w:rPr>
        <w:lastRenderedPageBreak/>
        <w:t>with the requirements of IFRS 9 and the legislation of the Republic of Kazakhstan, as well as recommendations for their elimination.</w:t>
      </w:r>
    </w:p>
    <w:p w14:paraId="7FEC0A50" w14:textId="77777777" w:rsidR="00606035" w:rsidRPr="002C5554" w:rsidRDefault="00E15939" w:rsidP="00606035">
      <w:pPr>
        <w:ind w:firstLine="426"/>
        <w:jc w:val="both"/>
        <w:rPr>
          <w:b/>
          <w:color w:val="000000"/>
          <w:lang w:val="en-US" w:eastAsia="ru-RU"/>
        </w:rPr>
      </w:pPr>
      <w:r w:rsidRPr="00DD256B">
        <w:rPr>
          <w:b/>
          <w:color w:val="000000"/>
          <w:lang w:val="en" w:eastAsia="ru-RU"/>
        </w:rPr>
        <w:t>2. Expanding approaches to stress testing</w:t>
      </w:r>
    </w:p>
    <w:p w14:paraId="1D54A111" w14:textId="77777777" w:rsidR="00606035" w:rsidRPr="002C5554" w:rsidRDefault="00E15939" w:rsidP="00606035">
      <w:pPr>
        <w:ind w:firstLine="400"/>
        <w:jc w:val="both"/>
        <w:rPr>
          <w:lang w:val="en-US"/>
        </w:rPr>
      </w:pPr>
      <w:r w:rsidRPr="00DD256B">
        <w:rPr>
          <w:lang w:val="en"/>
        </w:rPr>
        <w:t>As part of the annual review of stress testing scenarios, the Bank has implemented an additional risk factor specific to the Bank's business in order to better analyze and cover potential risks, as well as reverse stress testing. This has significantly improved the accuracy of forecasts and estimates of capital requirements in various stressful situations.</w:t>
      </w:r>
    </w:p>
    <w:p w14:paraId="52B3C258" w14:textId="77777777" w:rsidR="00606035" w:rsidRPr="002C5554" w:rsidRDefault="00E15939" w:rsidP="00606035">
      <w:pPr>
        <w:pStyle w:val="pj"/>
        <w:rPr>
          <w:b/>
          <w:lang w:val="en-US"/>
        </w:rPr>
      </w:pPr>
      <w:r w:rsidRPr="001305AF">
        <w:rPr>
          <w:b/>
          <w:lang w:val="en"/>
        </w:rPr>
        <w:t>3. Updating the methodology for assessing domestic (economic) capital</w:t>
      </w:r>
    </w:p>
    <w:p w14:paraId="55339A83" w14:textId="77777777" w:rsidR="00606035" w:rsidRPr="002C5554" w:rsidRDefault="00E15939" w:rsidP="00606035">
      <w:pPr>
        <w:pStyle w:val="pj"/>
        <w:rPr>
          <w:lang w:val="en-US"/>
        </w:rPr>
      </w:pPr>
      <w:r w:rsidRPr="001305AF">
        <w:rPr>
          <w:lang w:val="en"/>
        </w:rPr>
        <w:t>In order to improve the accuracy of risk assessment and capital requirements, the Bank has supplemented its internal methodology for assessing domestic (economic) capital:</w:t>
      </w:r>
    </w:p>
    <w:p w14:paraId="37BB66B0" w14:textId="77777777" w:rsidR="00606035" w:rsidRPr="002C5554" w:rsidRDefault="00E15939" w:rsidP="00606035">
      <w:pPr>
        <w:pStyle w:val="pj"/>
        <w:rPr>
          <w:lang w:val="en-US"/>
        </w:rPr>
      </w:pPr>
      <w:r w:rsidRPr="001305AF">
        <w:rPr>
          <w:lang w:val="en"/>
        </w:rPr>
        <w:t>1) The IRB (Internal Ratings-Based) approach has been implemented to more accurately assess credit risk in addition to the current Credit Risk Weighted Asset (RWA) method;</w:t>
      </w:r>
    </w:p>
    <w:p w14:paraId="2B5F3246" w14:textId="77777777" w:rsidR="00606035" w:rsidRPr="002C5554" w:rsidRDefault="00E15939" w:rsidP="00606035">
      <w:pPr>
        <w:pStyle w:val="pj"/>
        <w:rPr>
          <w:lang w:val="en-US"/>
        </w:rPr>
      </w:pPr>
      <w:r w:rsidRPr="001305AF">
        <w:rPr>
          <w:lang w:val="en"/>
        </w:rPr>
        <w:t>2) to assess market risk, along with the VaR (Value at Risk) method, the ES (Expected Shortfall) method has been introduced, which makes it possible to more accurately and fully assess potential losses under extreme market conditions. This approach improves the ability to adequately assess risks and determine capital adequacy to cover them.</w:t>
      </w:r>
    </w:p>
    <w:p w14:paraId="7E187414" w14:textId="77777777" w:rsidR="00606035" w:rsidRPr="002C5554" w:rsidRDefault="00606035" w:rsidP="00606035">
      <w:pPr>
        <w:pStyle w:val="pj"/>
        <w:rPr>
          <w:color w:val="FF0000"/>
          <w:lang w:val="en-US"/>
        </w:rPr>
      </w:pPr>
    </w:p>
    <w:p w14:paraId="0B2A1C81" w14:textId="77777777" w:rsidR="00606035" w:rsidRPr="002C5554" w:rsidRDefault="00E15939" w:rsidP="00350525">
      <w:pPr>
        <w:pStyle w:val="pj"/>
        <w:ind w:firstLine="567"/>
        <w:rPr>
          <w:lang w:val="en-US"/>
        </w:rPr>
      </w:pPr>
      <w:r w:rsidRPr="00606035">
        <w:rPr>
          <w:lang w:val="en"/>
        </w:rPr>
        <w:t>The Bank's capital adequacy is assessed both within the framework of regulatory and internal (economic) capital.</w:t>
      </w:r>
    </w:p>
    <w:p w14:paraId="69943071" w14:textId="77777777" w:rsidR="00606035" w:rsidRPr="002C5554" w:rsidRDefault="00E15939" w:rsidP="00350525">
      <w:pPr>
        <w:pStyle w:val="pj"/>
        <w:ind w:firstLine="567"/>
        <w:rPr>
          <w:lang w:val="en-US"/>
        </w:rPr>
      </w:pPr>
      <w:r w:rsidRPr="00606035">
        <w:rPr>
          <w:lang w:val="en"/>
        </w:rPr>
        <w:t>Regulatory capital is calculated in accordance with the requirements of Regulations No. 170, including all stipulated capital adequacy ratios (k1, k1-2, k2) and the corresponding buffers (conservation and system).</w:t>
      </w:r>
    </w:p>
    <w:p w14:paraId="75134600" w14:textId="77777777" w:rsidR="00230FD6" w:rsidRPr="002C5554" w:rsidRDefault="00E15939" w:rsidP="00350525">
      <w:pPr>
        <w:pStyle w:val="pr"/>
        <w:ind w:firstLine="567"/>
        <w:jc w:val="both"/>
        <w:rPr>
          <w:lang w:val="en-US"/>
        </w:rPr>
      </w:pPr>
      <w:r>
        <w:rPr>
          <w:lang w:val="en"/>
        </w:rPr>
        <w:t>The coefficients of adequacy of (regulatory) capital, taking into account buffers, are presented in the following table.</w:t>
      </w:r>
    </w:p>
    <w:p w14:paraId="7F715DDD" w14:textId="77777777" w:rsidR="00230FD6" w:rsidRPr="002C5554" w:rsidRDefault="00230FD6" w:rsidP="00230FD6">
      <w:pPr>
        <w:pStyle w:val="pj"/>
        <w:rPr>
          <w:lang w:val="en-US"/>
        </w:rPr>
      </w:pPr>
    </w:p>
    <w:p w14:paraId="3B2AEED5" w14:textId="77777777" w:rsidR="00230FD6" w:rsidRPr="002C5554" w:rsidRDefault="00E15939" w:rsidP="00230FD6">
      <w:pPr>
        <w:pStyle w:val="pc"/>
        <w:rPr>
          <w:b/>
          <w:color w:val="auto"/>
          <w:lang w:val="en-US"/>
        </w:rPr>
      </w:pPr>
      <w:r w:rsidRPr="00606035">
        <w:rPr>
          <w:rStyle w:val="s19"/>
          <w:b/>
          <w:color w:val="auto"/>
          <w:lang w:val="en"/>
        </w:rPr>
        <w:t>The values of the capital adequacy ratios, taking into account the conservation buffer and the system buffer as of 01.01.2026</w:t>
      </w:r>
    </w:p>
    <w:p w14:paraId="79192B7B" w14:textId="77777777" w:rsidR="00230FD6" w:rsidRPr="002C5554" w:rsidRDefault="00E15939" w:rsidP="00230FD6">
      <w:pPr>
        <w:pStyle w:val="pj"/>
        <w:rPr>
          <w:b/>
          <w:color w:val="auto"/>
          <w:lang w:val="en-US"/>
        </w:rPr>
      </w:pPr>
      <w:r w:rsidRPr="002C5554">
        <w:rPr>
          <w:rStyle w:val="s19"/>
          <w:b/>
          <w:color w:val="auto"/>
          <w:lang w:val="en-US"/>
        </w:rPr>
        <w:t> </w:t>
      </w:r>
    </w:p>
    <w:tbl>
      <w:tblPr>
        <w:tblW w:w="5000" w:type="pct"/>
        <w:jc w:val="center"/>
        <w:tblCellMar>
          <w:left w:w="0" w:type="dxa"/>
          <w:right w:w="0" w:type="dxa"/>
        </w:tblCellMar>
        <w:tblLook w:val="04A0" w:firstRow="1" w:lastRow="0" w:firstColumn="1" w:lastColumn="0" w:noHBand="0" w:noVBand="1"/>
      </w:tblPr>
      <w:tblGrid>
        <w:gridCol w:w="451"/>
        <w:gridCol w:w="2041"/>
        <w:gridCol w:w="3397"/>
        <w:gridCol w:w="3588"/>
      </w:tblGrid>
      <w:tr w:rsidR="00742452" w:rsidRPr="00D25369" w14:paraId="15620580" w14:textId="77777777" w:rsidTr="000101B2">
        <w:trPr>
          <w:jc w:val="center"/>
        </w:trPr>
        <w:tc>
          <w:tcPr>
            <w:tcW w:w="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A6002C" w14:textId="77777777" w:rsidR="00230FD6" w:rsidRPr="00606035" w:rsidRDefault="00E15939" w:rsidP="000101B2">
            <w:pPr>
              <w:pStyle w:val="pc"/>
              <w:rPr>
                <w:color w:val="auto"/>
              </w:rPr>
            </w:pPr>
            <w:r w:rsidRPr="00606035">
              <w:rPr>
                <w:rStyle w:val="s19"/>
                <w:color w:val="auto"/>
                <w:lang w:val="en"/>
              </w:rPr>
              <w:t>№</w:t>
            </w:r>
          </w:p>
        </w:tc>
        <w:tc>
          <w:tcPr>
            <w:tcW w:w="10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186CD" w14:textId="77777777" w:rsidR="00230FD6" w:rsidRPr="00606035" w:rsidRDefault="00E15939" w:rsidP="000101B2">
            <w:pPr>
              <w:pStyle w:val="pc"/>
              <w:rPr>
                <w:color w:val="auto"/>
              </w:rPr>
            </w:pPr>
            <w:r w:rsidRPr="00606035">
              <w:rPr>
                <w:rStyle w:val="s19"/>
                <w:color w:val="auto"/>
                <w:lang w:val="en"/>
              </w:rPr>
              <w:t>Name</w:t>
            </w:r>
          </w:p>
        </w:tc>
        <w:tc>
          <w:tcPr>
            <w:tcW w:w="17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7D591D" w14:textId="77777777" w:rsidR="00230FD6" w:rsidRPr="002C5554" w:rsidRDefault="00E15939" w:rsidP="000101B2">
            <w:pPr>
              <w:pStyle w:val="pc"/>
              <w:rPr>
                <w:color w:val="auto"/>
                <w:lang w:val="en-US"/>
              </w:rPr>
            </w:pPr>
            <w:r w:rsidRPr="00606035">
              <w:rPr>
                <w:rStyle w:val="s19"/>
                <w:color w:val="auto"/>
                <w:lang w:val="en"/>
              </w:rPr>
              <w:t>The minimum allowable level of capital adequacy ratios, taking into account the conservation buffer and the system buffer (%)</w:t>
            </w:r>
          </w:p>
        </w:tc>
        <w:tc>
          <w:tcPr>
            <w:tcW w:w="18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083ED" w14:textId="77777777" w:rsidR="00230FD6" w:rsidRPr="002C5554" w:rsidRDefault="00E15939" w:rsidP="000101B2">
            <w:pPr>
              <w:pStyle w:val="pc"/>
              <w:rPr>
                <w:color w:val="auto"/>
                <w:lang w:val="en-US"/>
              </w:rPr>
            </w:pPr>
            <w:r w:rsidRPr="00606035">
              <w:rPr>
                <w:rStyle w:val="s19"/>
                <w:color w:val="auto"/>
                <w:lang w:val="en"/>
              </w:rPr>
              <w:t>The actual level of capital adequacy ratios, taking into account the conservation buffer and the system buffer (%)</w:t>
            </w:r>
          </w:p>
        </w:tc>
      </w:tr>
      <w:tr w:rsidR="00742452" w14:paraId="60E08D4C" w14:textId="77777777" w:rsidTr="000101B2">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9B047" w14:textId="77777777" w:rsidR="00230FD6" w:rsidRPr="00606035" w:rsidRDefault="00E15939" w:rsidP="000101B2">
            <w:pPr>
              <w:pStyle w:val="pc"/>
              <w:rPr>
                <w:color w:val="auto"/>
              </w:rPr>
            </w:pPr>
            <w:r w:rsidRPr="00606035">
              <w:rPr>
                <w:rStyle w:val="s19"/>
                <w:color w:val="auto"/>
                <w:lang w:val="en"/>
              </w:rPr>
              <w:t>1</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136C7727" w14:textId="77777777" w:rsidR="00230FD6" w:rsidRPr="00606035" w:rsidRDefault="00E15939" w:rsidP="000101B2">
            <w:pPr>
              <w:pStyle w:val="pc"/>
              <w:rPr>
                <w:color w:val="auto"/>
              </w:rPr>
            </w:pPr>
            <w:r w:rsidRPr="00606035">
              <w:rPr>
                <w:rStyle w:val="s19"/>
                <w:color w:val="auto"/>
                <w:lang w:val="en"/>
              </w:rPr>
              <w:t>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14:paraId="4323C140" w14:textId="77777777" w:rsidR="00230FD6" w:rsidRPr="00606035" w:rsidRDefault="00E15939" w:rsidP="000101B2">
            <w:pPr>
              <w:pStyle w:val="pc"/>
              <w:rPr>
                <w:color w:val="auto"/>
              </w:rPr>
            </w:pPr>
            <w:r w:rsidRPr="00606035">
              <w:rPr>
                <w:rStyle w:val="s19"/>
                <w:color w:val="auto"/>
                <w:lang w:val="en"/>
              </w:rPr>
              <w:t>3</w:t>
            </w:r>
          </w:p>
        </w:tc>
        <w:tc>
          <w:tcPr>
            <w:tcW w:w="1893" w:type="pct"/>
            <w:tcBorders>
              <w:top w:val="nil"/>
              <w:left w:val="nil"/>
              <w:bottom w:val="single" w:sz="8" w:space="0" w:color="auto"/>
              <w:right w:val="single" w:sz="8" w:space="0" w:color="auto"/>
            </w:tcBorders>
            <w:tcMar>
              <w:top w:w="0" w:type="dxa"/>
              <w:left w:w="108" w:type="dxa"/>
              <w:bottom w:w="0" w:type="dxa"/>
              <w:right w:w="108" w:type="dxa"/>
            </w:tcMar>
            <w:hideMark/>
          </w:tcPr>
          <w:p w14:paraId="4DB982ED" w14:textId="77777777" w:rsidR="00230FD6" w:rsidRPr="00606035" w:rsidRDefault="00E15939" w:rsidP="000101B2">
            <w:pPr>
              <w:pStyle w:val="pc"/>
              <w:rPr>
                <w:color w:val="auto"/>
              </w:rPr>
            </w:pPr>
            <w:r w:rsidRPr="00606035">
              <w:rPr>
                <w:rStyle w:val="s19"/>
                <w:color w:val="auto"/>
                <w:lang w:val="en"/>
              </w:rPr>
              <w:t>4</w:t>
            </w:r>
          </w:p>
        </w:tc>
      </w:tr>
      <w:tr w:rsidR="00742452" w14:paraId="608DC903" w14:textId="77777777" w:rsidTr="000101B2">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9763A" w14:textId="77777777" w:rsidR="00230FD6" w:rsidRPr="00606035" w:rsidRDefault="00E15939" w:rsidP="000101B2">
            <w:pPr>
              <w:pStyle w:val="pji"/>
              <w:rPr>
                <w:color w:val="000000" w:themeColor="text1"/>
              </w:rPr>
            </w:pPr>
            <w:r w:rsidRPr="00606035">
              <w:rPr>
                <w:rStyle w:val="s19"/>
                <w:color w:val="000000" w:themeColor="text1"/>
                <w:lang w:val="en"/>
              </w:rPr>
              <w:t>1.</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17594BD7" w14:textId="77777777" w:rsidR="00230FD6" w:rsidRPr="00606035" w:rsidRDefault="00E15939" w:rsidP="000101B2">
            <w:pPr>
              <w:pStyle w:val="pji"/>
              <w:rPr>
                <w:color w:val="000000" w:themeColor="text1"/>
              </w:rPr>
            </w:pPr>
            <w:r w:rsidRPr="00606035">
              <w:rPr>
                <w:rStyle w:val="s19"/>
                <w:color w:val="000000" w:themeColor="text1"/>
                <w:lang w:val="en"/>
              </w:rPr>
              <w:t>Capital adequacy ratio (k1)</w:t>
            </w:r>
          </w:p>
        </w:tc>
        <w:tc>
          <w:tcPr>
            <w:tcW w:w="17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BF367E" w14:textId="77777777" w:rsidR="00230FD6" w:rsidRPr="00606035" w:rsidRDefault="00E15939" w:rsidP="000101B2">
            <w:pPr>
              <w:spacing w:after="20"/>
              <w:ind w:left="20"/>
              <w:jc w:val="center"/>
              <w:rPr>
                <w:color w:val="000000" w:themeColor="text1"/>
              </w:rPr>
            </w:pPr>
            <w:r w:rsidRPr="00606035">
              <w:rPr>
                <w:color w:val="000000" w:themeColor="text1"/>
                <w:lang w:val="en"/>
              </w:rPr>
              <w:t>8,0 %</w:t>
            </w:r>
          </w:p>
        </w:tc>
        <w:tc>
          <w:tcPr>
            <w:tcW w:w="18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A733D" w14:textId="77777777" w:rsidR="00230FD6" w:rsidRPr="001305AF" w:rsidRDefault="00230FD6" w:rsidP="000101B2">
            <w:pPr>
              <w:spacing w:after="20"/>
              <w:ind w:left="20"/>
              <w:jc w:val="center"/>
              <w:rPr>
                <w:color w:val="000000" w:themeColor="text1"/>
              </w:rPr>
            </w:pPr>
          </w:p>
          <w:p w14:paraId="0943C17B" w14:textId="77777777" w:rsidR="00230FD6" w:rsidRPr="001305AF" w:rsidRDefault="00E15939" w:rsidP="000101B2">
            <w:pPr>
              <w:spacing w:after="20"/>
              <w:ind w:left="20"/>
              <w:jc w:val="center"/>
              <w:rPr>
                <w:color w:val="000000" w:themeColor="text1"/>
              </w:rPr>
            </w:pPr>
            <w:r w:rsidRPr="001305AF">
              <w:rPr>
                <w:color w:val="000000" w:themeColor="text1"/>
                <w:lang w:val="en"/>
              </w:rPr>
              <w:t>34,6%</w:t>
            </w:r>
          </w:p>
          <w:p w14:paraId="076248C1" w14:textId="77777777" w:rsidR="00230FD6" w:rsidRPr="001305AF" w:rsidRDefault="00230FD6" w:rsidP="000101B2">
            <w:pPr>
              <w:spacing w:line="252" w:lineRule="auto"/>
              <w:jc w:val="center"/>
              <w:rPr>
                <w:color w:val="000000" w:themeColor="text1"/>
              </w:rPr>
            </w:pPr>
          </w:p>
        </w:tc>
      </w:tr>
      <w:tr w:rsidR="00742452" w14:paraId="73D378EC" w14:textId="77777777" w:rsidTr="000101B2">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55B12" w14:textId="77777777" w:rsidR="00230FD6" w:rsidRPr="00606035" w:rsidRDefault="00E15939" w:rsidP="000101B2">
            <w:pPr>
              <w:pStyle w:val="pji"/>
              <w:rPr>
                <w:color w:val="000000" w:themeColor="text1"/>
              </w:rPr>
            </w:pPr>
            <w:r w:rsidRPr="00606035">
              <w:rPr>
                <w:rStyle w:val="s19"/>
                <w:color w:val="000000" w:themeColor="text1"/>
                <w:lang w:val="en"/>
              </w:rPr>
              <w:t>2.</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5D63995B" w14:textId="77777777" w:rsidR="00230FD6" w:rsidRPr="002C5554" w:rsidRDefault="00E15939" w:rsidP="000101B2">
            <w:pPr>
              <w:pStyle w:val="pji"/>
              <w:rPr>
                <w:color w:val="000000" w:themeColor="text1"/>
                <w:lang w:val="en-US"/>
              </w:rPr>
            </w:pPr>
            <w:r w:rsidRPr="00606035">
              <w:rPr>
                <w:rStyle w:val="s19"/>
                <w:color w:val="000000" w:themeColor="text1"/>
                <w:lang w:val="en"/>
              </w:rPr>
              <w:t>Capital adequacy of the first level (k1-2)</w:t>
            </w:r>
          </w:p>
        </w:tc>
        <w:tc>
          <w:tcPr>
            <w:tcW w:w="17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FF0D67" w14:textId="77777777" w:rsidR="00230FD6" w:rsidRPr="00606035" w:rsidRDefault="00E15939" w:rsidP="000101B2">
            <w:pPr>
              <w:jc w:val="center"/>
              <w:rPr>
                <w:color w:val="000000" w:themeColor="text1"/>
              </w:rPr>
            </w:pPr>
            <w:r w:rsidRPr="00606035">
              <w:rPr>
                <w:color w:val="000000" w:themeColor="text1"/>
                <w:lang w:val="en"/>
              </w:rPr>
              <w:t>9,0 %</w:t>
            </w:r>
          </w:p>
        </w:tc>
        <w:tc>
          <w:tcPr>
            <w:tcW w:w="18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1FDFC" w14:textId="77777777" w:rsidR="00230FD6" w:rsidRPr="001305AF" w:rsidRDefault="00E15939" w:rsidP="000101B2">
            <w:pPr>
              <w:spacing w:after="20"/>
              <w:ind w:left="20"/>
              <w:jc w:val="center"/>
              <w:rPr>
                <w:color w:val="000000" w:themeColor="text1"/>
              </w:rPr>
            </w:pPr>
            <w:r w:rsidRPr="001305AF">
              <w:rPr>
                <w:color w:val="000000" w:themeColor="text1"/>
                <w:lang w:val="en"/>
              </w:rPr>
              <w:t>34,6%</w:t>
            </w:r>
          </w:p>
          <w:p w14:paraId="3E699705" w14:textId="77777777" w:rsidR="00230FD6" w:rsidRPr="001305AF" w:rsidRDefault="00230FD6" w:rsidP="000101B2">
            <w:pPr>
              <w:spacing w:line="252" w:lineRule="auto"/>
              <w:jc w:val="center"/>
              <w:rPr>
                <w:color w:val="000000" w:themeColor="text1"/>
              </w:rPr>
            </w:pPr>
          </w:p>
        </w:tc>
      </w:tr>
      <w:tr w:rsidR="00742452" w14:paraId="33C98CD3" w14:textId="77777777" w:rsidTr="000101B2">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2FB56" w14:textId="77777777" w:rsidR="00230FD6" w:rsidRPr="00606035" w:rsidRDefault="00E15939" w:rsidP="000101B2">
            <w:pPr>
              <w:pStyle w:val="pji"/>
              <w:rPr>
                <w:color w:val="000000" w:themeColor="text1"/>
              </w:rPr>
            </w:pPr>
            <w:r w:rsidRPr="00606035">
              <w:rPr>
                <w:rStyle w:val="s19"/>
                <w:color w:val="000000" w:themeColor="text1"/>
                <w:lang w:val="en"/>
              </w:rPr>
              <w:t>3.</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4300C09F" w14:textId="77777777" w:rsidR="00230FD6" w:rsidRPr="00606035" w:rsidRDefault="00E15939" w:rsidP="000101B2">
            <w:pPr>
              <w:pStyle w:val="pji"/>
              <w:rPr>
                <w:color w:val="000000" w:themeColor="text1"/>
              </w:rPr>
            </w:pPr>
            <w:r w:rsidRPr="00606035">
              <w:rPr>
                <w:rStyle w:val="s19"/>
                <w:color w:val="000000" w:themeColor="text1"/>
                <w:lang w:val="en"/>
              </w:rPr>
              <w:t>Equity capital adequacy (k2)</w:t>
            </w:r>
          </w:p>
        </w:tc>
        <w:tc>
          <w:tcPr>
            <w:tcW w:w="17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A7E50" w14:textId="77777777" w:rsidR="00230FD6" w:rsidRPr="00606035" w:rsidRDefault="00E15939" w:rsidP="000101B2">
            <w:pPr>
              <w:jc w:val="center"/>
              <w:rPr>
                <w:color w:val="000000" w:themeColor="text1"/>
              </w:rPr>
            </w:pPr>
            <w:r w:rsidRPr="00606035">
              <w:rPr>
                <w:color w:val="000000" w:themeColor="text1"/>
                <w:lang w:val="en"/>
              </w:rPr>
              <w:t>10,5 %</w:t>
            </w:r>
          </w:p>
        </w:tc>
        <w:tc>
          <w:tcPr>
            <w:tcW w:w="18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C81C7" w14:textId="77777777" w:rsidR="00230FD6" w:rsidRPr="001305AF" w:rsidRDefault="00E15939" w:rsidP="000101B2">
            <w:pPr>
              <w:spacing w:after="20"/>
              <w:ind w:left="20"/>
              <w:jc w:val="center"/>
              <w:rPr>
                <w:color w:val="000000" w:themeColor="text1"/>
              </w:rPr>
            </w:pPr>
            <w:r w:rsidRPr="001305AF">
              <w:rPr>
                <w:color w:val="000000" w:themeColor="text1"/>
                <w:lang w:val="en"/>
              </w:rPr>
              <w:t>34,6%</w:t>
            </w:r>
          </w:p>
          <w:p w14:paraId="760B8A67" w14:textId="77777777" w:rsidR="00230FD6" w:rsidRPr="001305AF" w:rsidRDefault="00230FD6" w:rsidP="000101B2">
            <w:pPr>
              <w:spacing w:line="252" w:lineRule="auto"/>
              <w:jc w:val="center"/>
              <w:rPr>
                <w:color w:val="000000" w:themeColor="text1"/>
              </w:rPr>
            </w:pPr>
          </w:p>
        </w:tc>
      </w:tr>
    </w:tbl>
    <w:p w14:paraId="562C5AC9" w14:textId="77777777" w:rsidR="00230FD6" w:rsidRPr="002C5554" w:rsidRDefault="00E15939" w:rsidP="00ED7748">
      <w:pPr>
        <w:spacing w:before="100" w:beforeAutospacing="1"/>
        <w:ind w:firstLine="567"/>
        <w:jc w:val="both"/>
        <w:rPr>
          <w:lang w:val="en-US"/>
        </w:rPr>
      </w:pPr>
      <w:r w:rsidRPr="00606035">
        <w:rPr>
          <w:lang w:val="en"/>
        </w:rPr>
        <w:t xml:space="preserve">As of 01.01.2026, the Bank complies with the requirements for capital adequacy ratios established by the National Bank of the Republic of Kazakhstan, taking into account conservation and system buffers. In this regard, in accordance with the requirements of </w:t>
      </w:r>
      <w:r w:rsidRPr="007C6C83">
        <w:rPr>
          <w:rStyle w:val="s19"/>
          <w:color w:val="000000" w:themeColor="text1"/>
          <w:lang w:val="en"/>
        </w:rPr>
        <w:t>Regulations No. 170</w:t>
      </w:r>
      <w:r w:rsidRPr="00606035">
        <w:rPr>
          <w:lang w:val="en"/>
        </w:rPr>
        <w:t>, a sufficient reserve level of capitalization does not lead to restrictions on the use of retained earnings, such as termination of payment of dividends or share repurchase.</w:t>
      </w:r>
    </w:p>
    <w:p w14:paraId="7EA3AC94" w14:textId="77777777" w:rsidR="00230FD6" w:rsidRPr="002C5554" w:rsidRDefault="00230FD6" w:rsidP="00230FD6">
      <w:pPr>
        <w:pStyle w:val="pj"/>
        <w:jc w:val="center"/>
        <w:rPr>
          <w:rStyle w:val="s19"/>
          <w:b/>
          <w:color w:val="000000" w:themeColor="text1"/>
          <w:lang w:val="en-US"/>
        </w:rPr>
      </w:pPr>
    </w:p>
    <w:p w14:paraId="6820A89E" w14:textId="77777777" w:rsidR="00230FD6" w:rsidRPr="002C5554" w:rsidRDefault="00E15939" w:rsidP="00230FD6">
      <w:pPr>
        <w:pStyle w:val="pj"/>
        <w:jc w:val="center"/>
        <w:rPr>
          <w:rStyle w:val="s19"/>
          <w:b/>
          <w:color w:val="auto"/>
          <w:lang w:val="en-US"/>
        </w:rPr>
      </w:pPr>
      <w:r w:rsidRPr="00606035">
        <w:rPr>
          <w:rStyle w:val="s19"/>
          <w:b/>
          <w:color w:val="auto"/>
          <w:lang w:val="en"/>
        </w:rPr>
        <w:t>Information about the Bank's capital structure</w:t>
      </w:r>
    </w:p>
    <w:p w14:paraId="47F1A32B" w14:textId="77777777" w:rsidR="00230FD6" w:rsidRPr="002C5554" w:rsidRDefault="00230FD6" w:rsidP="00230FD6">
      <w:pPr>
        <w:pStyle w:val="pj"/>
        <w:rPr>
          <w:rStyle w:val="s19"/>
          <w:color w:val="000000" w:themeColor="text1"/>
          <w:lang w:val="en-US"/>
        </w:rPr>
      </w:pPr>
    </w:p>
    <w:tbl>
      <w:tblPr>
        <w:tblW w:w="9356" w:type="dxa"/>
        <w:tblInd w:w="-5" w:type="dxa"/>
        <w:tblLook w:val="04A0" w:firstRow="1" w:lastRow="0" w:firstColumn="1" w:lastColumn="0" w:noHBand="0" w:noVBand="1"/>
      </w:tblPr>
      <w:tblGrid>
        <w:gridCol w:w="6379"/>
        <w:gridCol w:w="1571"/>
        <w:gridCol w:w="1406"/>
      </w:tblGrid>
      <w:tr w:rsidR="00742452" w14:paraId="2E6B92A7" w14:textId="77777777" w:rsidTr="000101B2">
        <w:trPr>
          <w:trHeight w:val="414"/>
        </w:trPr>
        <w:tc>
          <w:tcPr>
            <w:tcW w:w="6379" w:type="dxa"/>
            <w:tcBorders>
              <w:top w:val="single" w:sz="4" w:space="0" w:color="auto"/>
              <w:left w:val="single" w:sz="4" w:space="0" w:color="auto"/>
              <w:bottom w:val="single" w:sz="4" w:space="0" w:color="auto"/>
              <w:right w:val="single" w:sz="4" w:space="0" w:color="auto"/>
            </w:tcBorders>
            <w:vAlign w:val="center"/>
            <w:hideMark/>
          </w:tcPr>
          <w:p w14:paraId="1C0D866F" w14:textId="2A210B43" w:rsidR="00230FD6" w:rsidRPr="00C66988" w:rsidRDefault="002C5554" w:rsidP="000101B2">
            <w:pPr>
              <w:rPr>
                <w:b/>
                <w:bCs/>
                <w:color w:val="000000"/>
                <w:lang w:eastAsia="ru-RU"/>
              </w:rPr>
            </w:pPr>
            <w:r>
              <w:rPr>
                <w:b/>
                <w:bCs/>
                <w:color w:val="000000"/>
                <w:lang w:val="en" w:eastAsia="ru-RU"/>
              </w:rPr>
              <w:t>EQUITY</w:t>
            </w:r>
            <w:r w:rsidR="00E15939" w:rsidRPr="00C66988">
              <w:rPr>
                <w:b/>
                <w:bCs/>
                <w:color w:val="000000"/>
                <w:lang w:val="en" w:eastAsia="ru-RU"/>
              </w:rPr>
              <w:t xml:space="preserve"> (billion tenge)</w:t>
            </w:r>
          </w:p>
        </w:tc>
        <w:tc>
          <w:tcPr>
            <w:tcW w:w="1571" w:type="dxa"/>
            <w:tcBorders>
              <w:top w:val="single" w:sz="4" w:space="0" w:color="auto"/>
              <w:left w:val="nil"/>
              <w:bottom w:val="single" w:sz="4" w:space="0" w:color="auto"/>
              <w:right w:val="single" w:sz="4" w:space="0" w:color="auto"/>
            </w:tcBorders>
            <w:vAlign w:val="center"/>
            <w:hideMark/>
          </w:tcPr>
          <w:p w14:paraId="4DEB13AF" w14:textId="77777777" w:rsidR="00230FD6" w:rsidRPr="00C66988" w:rsidRDefault="00E15939" w:rsidP="000101B2">
            <w:pPr>
              <w:jc w:val="center"/>
              <w:rPr>
                <w:b/>
                <w:bCs/>
                <w:color w:val="000000"/>
                <w:lang w:eastAsia="ru-RU"/>
              </w:rPr>
            </w:pPr>
            <w:r w:rsidRPr="00C66988">
              <w:rPr>
                <w:b/>
                <w:bCs/>
                <w:color w:val="000000"/>
                <w:lang w:val="en" w:eastAsia="ru-RU"/>
              </w:rPr>
              <w:t>01.01.2026</w:t>
            </w:r>
          </w:p>
        </w:tc>
        <w:tc>
          <w:tcPr>
            <w:tcW w:w="1406" w:type="dxa"/>
            <w:tcBorders>
              <w:top w:val="single" w:sz="4" w:space="0" w:color="auto"/>
              <w:left w:val="nil"/>
              <w:bottom w:val="single" w:sz="4" w:space="0" w:color="auto"/>
              <w:right w:val="single" w:sz="4" w:space="0" w:color="auto"/>
            </w:tcBorders>
            <w:vAlign w:val="center"/>
            <w:hideMark/>
          </w:tcPr>
          <w:p w14:paraId="4E5F05BA" w14:textId="77777777" w:rsidR="00230FD6" w:rsidRPr="00C66988" w:rsidRDefault="00E15939" w:rsidP="000101B2">
            <w:pPr>
              <w:jc w:val="center"/>
              <w:rPr>
                <w:b/>
                <w:bCs/>
                <w:color w:val="000000"/>
                <w:lang w:eastAsia="ru-RU"/>
              </w:rPr>
            </w:pPr>
            <w:r w:rsidRPr="00C66988">
              <w:rPr>
                <w:b/>
                <w:bCs/>
                <w:color w:val="000000"/>
                <w:lang w:val="en" w:eastAsia="ru-RU"/>
              </w:rPr>
              <w:t>01.01.2025</w:t>
            </w:r>
          </w:p>
        </w:tc>
      </w:tr>
      <w:tr w:rsidR="00742452" w14:paraId="7D8FF7E1" w14:textId="77777777" w:rsidTr="000101B2">
        <w:trPr>
          <w:trHeight w:val="315"/>
        </w:trPr>
        <w:tc>
          <w:tcPr>
            <w:tcW w:w="6379" w:type="dxa"/>
            <w:tcBorders>
              <w:top w:val="nil"/>
              <w:left w:val="single" w:sz="4" w:space="0" w:color="auto"/>
              <w:bottom w:val="single" w:sz="4" w:space="0" w:color="auto"/>
              <w:right w:val="single" w:sz="4" w:space="0" w:color="auto"/>
            </w:tcBorders>
            <w:vAlign w:val="center"/>
            <w:hideMark/>
          </w:tcPr>
          <w:p w14:paraId="6FE5E197" w14:textId="77777777" w:rsidR="00230FD6" w:rsidRPr="00C66988" w:rsidRDefault="00E15939" w:rsidP="000101B2">
            <w:pPr>
              <w:rPr>
                <w:color w:val="000000"/>
                <w:lang w:eastAsia="ru-RU"/>
              </w:rPr>
            </w:pPr>
            <w:r w:rsidRPr="00C66988">
              <w:rPr>
                <w:color w:val="000000"/>
                <w:lang w:val="en" w:eastAsia="ru-RU"/>
              </w:rPr>
              <w:t>Share capital</w:t>
            </w:r>
          </w:p>
        </w:tc>
        <w:tc>
          <w:tcPr>
            <w:tcW w:w="1571" w:type="dxa"/>
            <w:tcBorders>
              <w:top w:val="nil"/>
              <w:left w:val="nil"/>
              <w:bottom w:val="single" w:sz="4" w:space="0" w:color="auto"/>
              <w:right w:val="single" w:sz="4" w:space="0" w:color="auto"/>
            </w:tcBorders>
            <w:noWrap/>
            <w:vAlign w:val="center"/>
            <w:hideMark/>
          </w:tcPr>
          <w:p w14:paraId="610C3E49" w14:textId="77777777" w:rsidR="00230FD6" w:rsidRPr="00C66988" w:rsidRDefault="00E15939" w:rsidP="000101B2">
            <w:pPr>
              <w:jc w:val="right"/>
              <w:rPr>
                <w:lang w:eastAsia="ru-RU"/>
              </w:rPr>
            </w:pPr>
            <w:r w:rsidRPr="00C66988">
              <w:rPr>
                <w:lang w:val="en" w:eastAsia="ru-RU"/>
              </w:rPr>
              <w:t>78</w:t>
            </w:r>
          </w:p>
        </w:tc>
        <w:tc>
          <w:tcPr>
            <w:tcW w:w="1406" w:type="dxa"/>
            <w:tcBorders>
              <w:top w:val="nil"/>
              <w:left w:val="nil"/>
              <w:bottom w:val="single" w:sz="4" w:space="0" w:color="auto"/>
              <w:right w:val="single" w:sz="4" w:space="0" w:color="auto"/>
            </w:tcBorders>
            <w:noWrap/>
            <w:vAlign w:val="center"/>
            <w:hideMark/>
          </w:tcPr>
          <w:p w14:paraId="2DBE6E08" w14:textId="77777777" w:rsidR="00230FD6" w:rsidRPr="00C66988" w:rsidRDefault="00E15939" w:rsidP="000101B2">
            <w:pPr>
              <w:jc w:val="right"/>
              <w:rPr>
                <w:lang w:eastAsia="ru-RU"/>
              </w:rPr>
            </w:pPr>
            <w:r w:rsidRPr="00C66988">
              <w:rPr>
                <w:lang w:val="en" w:eastAsia="ru-RU"/>
              </w:rPr>
              <w:t>78</w:t>
            </w:r>
          </w:p>
        </w:tc>
      </w:tr>
      <w:tr w:rsidR="00742452" w14:paraId="608DD304" w14:textId="77777777" w:rsidTr="000101B2">
        <w:trPr>
          <w:trHeight w:val="300"/>
        </w:trPr>
        <w:tc>
          <w:tcPr>
            <w:tcW w:w="6379" w:type="dxa"/>
            <w:tcBorders>
              <w:top w:val="nil"/>
              <w:left w:val="single" w:sz="4" w:space="0" w:color="auto"/>
              <w:bottom w:val="single" w:sz="4" w:space="0" w:color="auto"/>
              <w:right w:val="single" w:sz="4" w:space="0" w:color="auto"/>
            </w:tcBorders>
            <w:vAlign w:val="center"/>
            <w:hideMark/>
          </w:tcPr>
          <w:p w14:paraId="17255DD0" w14:textId="77777777" w:rsidR="00230FD6" w:rsidRPr="00C66988" w:rsidRDefault="00E15939" w:rsidP="000101B2">
            <w:pPr>
              <w:rPr>
                <w:color w:val="000000"/>
                <w:lang w:eastAsia="ru-RU"/>
              </w:rPr>
            </w:pPr>
            <w:r w:rsidRPr="00C66988">
              <w:rPr>
                <w:color w:val="000000"/>
                <w:lang w:val="en" w:eastAsia="ru-RU"/>
              </w:rPr>
              <w:lastRenderedPageBreak/>
              <w:t xml:space="preserve">Additional paid-in capital </w:t>
            </w:r>
          </w:p>
        </w:tc>
        <w:tc>
          <w:tcPr>
            <w:tcW w:w="1571" w:type="dxa"/>
            <w:tcBorders>
              <w:top w:val="nil"/>
              <w:left w:val="nil"/>
              <w:bottom w:val="single" w:sz="4" w:space="0" w:color="auto"/>
              <w:right w:val="single" w:sz="4" w:space="0" w:color="auto"/>
            </w:tcBorders>
            <w:noWrap/>
            <w:vAlign w:val="center"/>
            <w:hideMark/>
          </w:tcPr>
          <w:p w14:paraId="0F8CBDC5" w14:textId="77777777" w:rsidR="00230FD6" w:rsidRPr="00C66988" w:rsidRDefault="00E15939" w:rsidP="000101B2">
            <w:pPr>
              <w:jc w:val="right"/>
              <w:rPr>
                <w:lang w:eastAsia="ru-RU"/>
              </w:rPr>
            </w:pPr>
            <w:r w:rsidRPr="00C66988">
              <w:rPr>
                <w:lang w:val="en" w:eastAsia="ru-RU"/>
              </w:rPr>
              <w:t>267</w:t>
            </w:r>
          </w:p>
        </w:tc>
        <w:tc>
          <w:tcPr>
            <w:tcW w:w="1406" w:type="dxa"/>
            <w:tcBorders>
              <w:top w:val="nil"/>
              <w:left w:val="nil"/>
              <w:bottom w:val="single" w:sz="4" w:space="0" w:color="auto"/>
              <w:right w:val="single" w:sz="4" w:space="0" w:color="auto"/>
            </w:tcBorders>
            <w:noWrap/>
            <w:vAlign w:val="center"/>
            <w:hideMark/>
          </w:tcPr>
          <w:p w14:paraId="2558F3CD" w14:textId="77777777" w:rsidR="00230FD6" w:rsidRPr="00C66988" w:rsidRDefault="00E15939" w:rsidP="000101B2">
            <w:pPr>
              <w:jc w:val="right"/>
              <w:rPr>
                <w:lang w:eastAsia="ru-RU"/>
              </w:rPr>
            </w:pPr>
            <w:r w:rsidRPr="00C66988">
              <w:rPr>
                <w:lang w:val="en" w:eastAsia="ru-RU"/>
              </w:rPr>
              <w:t>236</w:t>
            </w:r>
          </w:p>
        </w:tc>
      </w:tr>
      <w:tr w:rsidR="00742452" w14:paraId="2BCB3E04" w14:textId="77777777" w:rsidTr="000101B2">
        <w:trPr>
          <w:trHeight w:val="765"/>
        </w:trPr>
        <w:tc>
          <w:tcPr>
            <w:tcW w:w="6379" w:type="dxa"/>
            <w:tcBorders>
              <w:top w:val="nil"/>
              <w:left w:val="single" w:sz="4" w:space="0" w:color="auto"/>
              <w:bottom w:val="single" w:sz="4" w:space="0" w:color="auto"/>
              <w:right w:val="single" w:sz="4" w:space="0" w:color="auto"/>
            </w:tcBorders>
            <w:vAlign w:val="center"/>
            <w:hideMark/>
          </w:tcPr>
          <w:p w14:paraId="3BE52E99" w14:textId="77777777" w:rsidR="00230FD6" w:rsidRPr="002C5554" w:rsidRDefault="00E15939" w:rsidP="000101B2">
            <w:pPr>
              <w:rPr>
                <w:color w:val="000000"/>
                <w:lang w:val="en-US" w:eastAsia="ru-RU"/>
              </w:rPr>
            </w:pPr>
            <w:r w:rsidRPr="00C66988">
              <w:rPr>
                <w:color w:val="000000"/>
                <w:lang w:val="en" w:eastAsia="ru-RU"/>
              </w:rPr>
              <w:t>Revaluation Reserve for Investment Securities measured at fair value through Other Comprehensive Income</w:t>
            </w:r>
          </w:p>
        </w:tc>
        <w:tc>
          <w:tcPr>
            <w:tcW w:w="1571" w:type="dxa"/>
            <w:tcBorders>
              <w:top w:val="nil"/>
              <w:left w:val="nil"/>
              <w:bottom w:val="single" w:sz="4" w:space="0" w:color="auto"/>
              <w:right w:val="single" w:sz="4" w:space="0" w:color="auto"/>
            </w:tcBorders>
            <w:noWrap/>
            <w:vAlign w:val="center"/>
            <w:hideMark/>
          </w:tcPr>
          <w:p w14:paraId="62397DDE" w14:textId="77777777" w:rsidR="00230FD6" w:rsidRPr="00C66988" w:rsidRDefault="00E15939" w:rsidP="000101B2">
            <w:pPr>
              <w:jc w:val="right"/>
              <w:rPr>
                <w:lang w:eastAsia="ru-RU"/>
              </w:rPr>
            </w:pPr>
            <w:r w:rsidRPr="00C66988">
              <w:rPr>
                <w:lang w:val="en" w:eastAsia="ru-RU"/>
              </w:rPr>
              <w:t>-4</w:t>
            </w:r>
          </w:p>
        </w:tc>
        <w:tc>
          <w:tcPr>
            <w:tcW w:w="1406" w:type="dxa"/>
            <w:tcBorders>
              <w:top w:val="nil"/>
              <w:left w:val="nil"/>
              <w:bottom w:val="single" w:sz="4" w:space="0" w:color="auto"/>
              <w:right w:val="single" w:sz="4" w:space="0" w:color="auto"/>
            </w:tcBorders>
            <w:noWrap/>
            <w:vAlign w:val="center"/>
            <w:hideMark/>
          </w:tcPr>
          <w:p w14:paraId="529EA921" w14:textId="77777777" w:rsidR="00230FD6" w:rsidRPr="00C66988" w:rsidRDefault="00E15939" w:rsidP="000101B2">
            <w:pPr>
              <w:jc w:val="right"/>
              <w:rPr>
                <w:lang w:eastAsia="ru-RU"/>
              </w:rPr>
            </w:pPr>
            <w:r w:rsidRPr="00C66988">
              <w:rPr>
                <w:lang w:val="en" w:eastAsia="ru-RU"/>
              </w:rPr>
              <w:t>-2</w:t>
            </w:r>
          </w:p>
        </w:tc>
      </w:tr>
      <w:tr w:rsidR="00742452" w14:paraId="14F088B9" w14:textId="77777777" w:rsidTr="000101B2">
        <w:trPr>
          <w:trHeight w:val="300"/>
        </w:trPr>
        <w:tc>
          <w:tcPr>
            <w:tcW w:w="6379" w:type="dxa"/>
            <w:tcBorders>
              <w:top w:val="nil"/>
              <w:left w:val="single" w:sz="4" w:space="0" w:color="auto"/>
              <w:bottom w:val="single" w:sz="4" w:space="0" w:color="auto"/>
              <w:right w:val="single" w:sz="4" w:space="0" w:color="auto"/>
            </w:tcBorders>
            <w:vAlign w:val="center"/>
            <w:hideMark/>
          </w:tcPr>
          <w:p w14:paraId="2F16EFED" w14:textId="77777777" w:rsidR="00230FD6" w:rsidRPr="00C66988" w:rsidRDefault="00E15939" w:rsidP="000101B2">
            <w:pPr>
              <w:rPr>
                <w:color w:val="000000"/>
                <w:lang w:eastAsia="ru-RU"/>
              </w:rPr>
            </w:pPr>
            <w:r w:rsidRPr="00C66988">
              <w:rPr>
                <w:color w:val="000000"/>
                <w:lang w:val="en" w:eastAsia="ru-RU"/>
              </w:rPr>
              <w:t>Other reserves</w:t>
            </w:r>
          </w:p>
        </w:tc>
        <w:tc>
          <w:tcPr>
            <w:tcW w:w="1571" w:type="dxa"/>
            <w:tcBorders>
              <w:top w:val="nil"/>
              <w:left w:val="nil"/>
              <w:bottom w:val="single" w:sz="4" w:space="0" w:color="auto"/>
              <w:right w:val="single" w:sz="4" w:space="0" w:color="auto"/>
            </w:tcBorders>
            <w:noWrap/>
            <w:vAlign w:val="center"/>
            <w:hideMark/>
          </w:tcPr>
          <w:p w14:paraId="1DFF3416" w14:textId="77777777" w:rsidR="00230FD6" w:rsidRPr="00C66988" w:rsidRDefault="00E15939" w:rsidP="000101B2">
            <w:pPr>
              <w:jc w:val="right"/>
              <w:rPr>
                <w:lang w:eastAsia="ru-RU"/>
              </w:rPr>
            </w:pPr>
            <w:r w:rsidRPr="00C66988">
              <w:rPr>
                <w:lang w:val="en" w:eastAsia="ru-RU"/>
              </w:rPr>
              <w:t>2</w:t>
            </w:r>
          </w:p>
        </w:tc>
        <w:tc>
          <w:tcPr>
            <w:tcW w:w="1406" w:type="dxa"/>
            <w:tcBorders>
              <w:top w:val="nil"/>
              <w:left w:val="nil"/>
              <w:bottom w:val="single" w:sz="4" w:space="0" w:color="auto"/>
              <w:right w:val="single" w:sz="4" w:space="0" w:color="auto"/>
            </w:tcBorders>
            <w:noWrap/>
            <w:vAlign w:val="center"/>
            <w:hideMark/>
          </w:tcPr>
          <w:p w14:paraId="627DF36D" w14:textId="77777777" w:rsidR="00230FD6" w:rsidRPr="00C66988" w:rsidRDefault="00E15939" w:rsidP="000101B2">
            <w:pPr>
              <w:jc w:val="right"/>
              <w:rPr>
                <w:lang w:eastAsia="ru-RU"/>
              </w:rPr>
            </w:pPr>
            <w:r w:rsidRPr="00C66988">
              <w:rPr>
                <w:lang w:val="en" w:eastAsia="ru-RU"/>
              </w:rPr>
              <w:t>2</w:t>
            </w:r>
          </w:p>
        </w:tc>
      </w:tr>
      <w:tr w:rsidR="00742452" w14:paraId="4F99562B" w14:textId="77777777" w:rsidTr="000101B2">
        <w:trPr>
          <w:trHeight w:val="300"/>
        </w:trPr>
        <w:tc>
          <w:tcPr>
            <w:tcW w:w="6379" w:type="dxa"/>
            <w:tcBorders>
              <w:top w:val="nil"/>
              <w:left w:val="single" w:sz="4" w:space="0" w:color="auto"/>
              <w:bottom w:val="single" w:sz="4" w:space="0" w:color="auto"/>
              <w:right w:val="single" w:sz="4" w:space="0" w:color="auto"/>
            </w:tcBorders>
            <w:vAlign w:val="center"/>
            <w:hideMark/>
          </w:tcPr>
          <w:p w14:paraId="6AB9D8CD" w14:textId="77777777" w:rsidR="00230FD6" w:rsidRPr="00C66988" w:rsidRDefault="00E15939" w:rsidP="000101B2">
            <w:pPr>
              <w:rPr>
                <w:color w:val="000000"/>
                <w:lang w:eastAsia="ru-RU"/>
              </w:rPr>
            </w:pPr>
            <w:r w:rsidRPr="00C66988">
              <w:rPr>
                <w:color w:val="000000"/>
                <w:lang w:val="en" w:eastAsia="ru-RU"/>
              </w:rPr>
              <w:t>Retained earnings</w:t>
            </w:r>
          </w:p>
        </w:tc>
        <w:tc>
          <w:tcPr>
            <w:tcW w:w="1571" w:type="dxa"/>
            <w:tcBorders>
              <w:top w:val="nil"/>
              <w:left w:val="nil"/>
              <w:bottom w:val="single" w:sz="4" w:space="0" w:color="auto"/>
              <w:right w:val="single" w:sz="4" w:space="0" w:color="auto"/>
            </w:tcBorders>
            <w:noWrap/>
            <w:vAlign w:val="center"/>
            <w:hideMark/>
          </w:tcPr>
          <w:p w14:paraId="76BF2821" w14:textId="77777777" w:rsidR="00230FD6" w:rsidRPr="00C66988" w:rsidRDefault="00E15939" w:rsidP="000101B2">
            <w:pPr>
              <w:jc w:val="right"/>
              <w:rPr>
                <w:lang w:eastAsia="ru-RU"/>
              </w:rPr>
            </w:pPr>
            <w:r>
              <w:rPr>
                <w:lang w:val="en" w:eastAsia="ru-RU"/>
              </w:rPr>
              <w:t>422</w:t>
            </w:r>
          </w:p>
        </w:tc>
        <w:tc>
          <w:tcPr>
            <w:tcW w:w="1406" w:type="dxa"/>
            <w:tcBorders>
              <w:top w:val="nil"/>
              <w:left w:val="nil"/>
              <w:bottom w:val="single" w:sz="4" w:space="0" w:color="auto"/>
              <w:right w:val="single" w:sz="4" w:space="0" w:color="auto"/>
            </w:tcBorders>
            <w:noWrap/>
            <w:vAlign w:val="center"/>
            <w:hideMark/>
          </w:tcPr>
          <w:p w14:paraId="1E737D44" w14:textId="77777777" w:rsidR="00230FD6" w:rsidRPr="00C66988" w:rsidRDefault="00E15939" w:rsidP="000101B2">
            <w:pPr>
              <w:jc w:val="right"/>
              <w:rPr>
                <w:lang w:eastAsia="ru-RU"/>
              </w:rPr>
            </w:pPr>
            <w:r w:rsidRPr="00C66988">
              <w:rPr>
                <w:lang w:val="en" w:eastAsia="ru-RU"/>
              </w:rPr>
              <w:t>395</w:t>
            </w:r>
          </w:p>
        </w:tc>
      </w:tr>
      <w:tr w:rsidR="00742452" w14:paraId="72AEC787" w14:textId="77777777" w:rsidTr="000101B2">
        <w:trPr>
          <w:trHeight w:val="300"/>
        </w:trPr>
        <w:tc>
          <w:tcPr>
            <w:tcW w:w="6379" w:type="dxa"/>
            <w:tcBorders>
              <w:top w:val="nil"/>
              <w:left w:val="single" w:sz="4" w:space="0" w:color="auto"/>
              <w:bottom w:val="single" w:sz="4" w:space="0" w:color="auto"/>
              <w:right w:val="single" w:sz="4" w:space="0" w:color="auto"/>
            </w:tcBorders>
            <w:vAlign w:val="center"/>
            <w:hideMark/>
          </w:tcPr>
          <w:p w14:paraId="488B9FDD" w14:textId="77777777" w:rsidR="00230FD6" w:rsidRPr="00C66988" w:rsidRDefault="00E15939" w:rsidP="000101B2">
            <w:pPr>
              <w:rPr>
                <w:b/>
                <w:bCs/>
                <w:color w:val="000000"/>
                <w:lang w:eastAsia="ru-RU"/>
              </w:rPr>
            </w:pPr>
            <w:r w:rsidRPr="00C66988">
              <w:rPr>
                <w:b/>
                <w:bCs/>
                <w:color w:val="000000"/>
                <w:lang w:val="en" w:eastAsia="ru-RU"/>
              </w:rPr>
              <w:t>TOTAL EQUITY</w:t>
            </w:r>
          </w:p>
        </w:tc>
        <w:tc>
          <w:tcPr>
            <w:tcW w:w="1571" w:type="dxa"/>
            <w:tcBorders>
              <w:top w:val="nil"/>
              <w:left w:val="nil"/>
              <w:bottom w:val="single" w:sz="4" w:space="0" w:color="auto"/>
              <w:right w:val="single" w:sz="4" w:space="0" w:color="auto"/>
            </w:tcBorders>
            <w:noWrap/>
            <w:vAlign w:val="center"/>
            <w:hideMark/>
          </w:tcPr>
          <w:p w14:paraId="2F80BEDF" w14:textId="77777777" w:rsidR="00230FD6" w:rsidRPr="00C66988" w:rsidRDefault="00E15939" w:rsidP="000101B2">
            <w:pPr>
              <w:jc w:val="right"/>
              <w:rPr>
                <w:b/>
                <w:bCs/>
                <w:color w:val="000000"/>
                <w:lang w:eastAsia="ru-RU"/>
              </w:rPr>
            </w:pPr>
            <w:r w:rsidRPr="00C66988">
              <w:rPr>
                <w:b/>
                <w:bCs/>
                <w:color w:val="000000"/>
                <w:lang w:val="en" w:eastAsia="ru-RU"/>
              </w:rPr>
              <w:t>767</w:t>
            </w:r>
          </w:p>
        </w:tc>
        <w:tc>
          <w:tcPr>
            <w:tcW w:w="1406" w:type="dxa"/>
            <w:tcBorders>
              <w:top w:val="nil"/>
              <w:left w:val="nil"/>
              <w:bottom w:val="single" w:sz="4" w:space="0" w:color="auto"/>
              <w:right w:val="single" w:sz="4" w:space="0" w:color="auto"/>
            </w:tcBorders>
            <w:noWrap/>
            <w:vAlign w:val="center"/>
            <w:hideMark/>
          </w:tcPr>
          <w:p w14:paraId="792745D4" w14:textId="77777777" w:rsidR="00230FD6" w:rsidRPr="00C66988" w:rsidRDefault="00E15939" w:rsidP="000101B2">
            <w:pPr>
              <w:jc w:val="right"/>
              <w:rPr>
                <w:b/>
                <w:bCs/>
                <w:color w:val="000000"/>
                <w:lang w:eastAsia="ru-RU"/>
              </w:rPr>
            </w:pPr>
            <w:r>
              <w:rPr>
                <w:b/>
                <w:bCs/>
                <w:color w:val="000000"/>
                <w:lang w:val="en" w:eastAsia="ru-RU"/>
              </w:rPr>
              <w:t>710</w:t>
            </w:r>
          </w:p>
        </w:tc>
      </w:tr>
    </w:tbl>
    <w:p w14:paraId="36298D70" w14:textId="77777777" w:rsidR="00230FD6" w:rsidRPr="002C5554" w:rsidRDefault="00E15939" w:rsidP="00ED7748">
      <w:pPr>
        <w:spacing w:before="100" w:beforeAutospacing="1"/>
        <w:ind w:firstLine="567"/>
        <w:jc w:val="both"/>
        <w:rPr>
          <w:lang w:val="en-US"/>
        </w:rPr>
      </w:pPr>
      <w:r w:rsidRPr="001A3DB5">
        <w:rPr>
          <w:rStyle w:val="s19"/>
          <w:color w:val="000000" w:themeColor="text1"/>
          <w:lang w:val="en" w:eastAsia="ru-RU"/>
        </w:rPr>
        <w:t>As of 01.01.2026, the Bank's equity capital left 767 billion tenge, which is 57 billion tenge more than on 01.01.2025 (710 billion tenge). The increase in capital is primarily due to an increase in retained earnings by 27 billion tenge and an increase in additional</w:t>
      </w:r>
      <w:r w:rsidRPr="001305AF">
        <w:rPr>
          <w:rStyle w:val="s19"/>
          <w:color w:val="auto"/>
          <w:lang w:val="en" w:eastAsia="ru-RU"/>
        </w:rPr>
        <w:t xml:space="preserve"> paid-in capital by 31 billion tenge. At the same time, the additional paid-in capital increased due to attracted loans aimed at the implementation of state and local executive authorities (LEAs) programs at below-market rates. Upon initial recognition of these loans, adjustments to their fair value are reflected in equity as additional capital. This is due to the fact that the Bank considers these operations as a contribution to capital, since they are part of the financing of government programs, which are the main activity of the Bank and generate marginal profits.</w:t>
      </w:r>
    </w:p>
    <w:p w14:paraId="7323E437" w14:textId="77777777" w:rsidR="00230FD6" w:rsidRPr="002C5554" w:rsidRDefault="00230FD6" w:rsidP="00ED7748">
      <w:pPr>
        <w:pStyle w:val="pj"/>
        <w:ind w:firstLine="567"/>
        <w:rPr>
          <w:rStyle w:val="s19"/>
          <w:color w:val="000000" w:themeColor="text1"/>
          <w:lang w:val="en-US"/>
        </w:rPr>
      </w:pPr>
    </w:p>
    <w:p w14:paraId="42F70CB7" w14:textId="77777777" w:rsidR="00606035" w:rsidRPr="002C5554" w:rsidRDefault="00E15939" w:rsidP="00ED7748">
      <w:pPr>
        <w:pStyle w:val="pj"/>
        <w:ind w:firstLine="567"/>
        <w:rPr>
          <w:lang w:val="en-US"/>
        </w:rPr>
      </w:pPr>
      <w:r w:rsidRPr="00606035">
        <w:rPr>
          <w:lang w:val="en"/>
        </w:rPr>
        <w:t xml:space="preserve">The calculation of the internal (economic) capital in the Bank is carried out on the basis of the Methodology for determining the internal capital. The Bank uses a methodology for calculating and estimating internal (economic) capital that corresponds to its business structure and risk profile. </w:t>
      </w:r>
    </w:p>
    <w:p w14:paraId="1AAF9057" w14:textId="77777777" w:rsidR="00606035" w:rsidRPr="002C5554" w:rsidRDefault="00E15939" w:rsidP="00ED7748">
      <w:pPr>
        <w:pStyle w:val="pj"/>
        <w:ind w:firstLine="567"/>
        <w:rPr>
          <w:lang w:val="en-US"/>
        </w:rPr>
      </w:pPr>
      <w:r w:rsidRPr="00606035">
        <w:rPr>
          <w:lang w:val="en"/>
        </w:rPr>
        <w:t>Assessment of the adequacy of internal (economic) capital is an integral part of the management and decision-making processes related to both strategic planning and setting limits, as well as evaluating the effectiveness of risk management in the Bank.</w:t>
      </w:r>
    </w:p>
    <w:p w14:paraId="5C41147F" w14:textId="77777777" w:rsidR="00606035" w:rsidRPr="002C5554" w:rsidRDefault="00E15939" w:rsidP="00ED7748">
      <w:pPr>
        <w:pStyle w:val="aa"/>
        <w:widowControl w:val="0"/>
        <w:tabs>
          <w:tab w:val="left" w:pos="993"/>
          <w:tab w:val="left" w:pos="1134"/>
        </w:tabs>
        <w:overflowPunct w:val="0"/>
        <w:autoSpaceDE w:val="0"/>
        <w:autoSpaceDN w:val="0"/>
        <w:adjustRightInd w:val="0"/>
        <w:spacing w:line="240" w:lineRule="auto"/>
        <w:ind w:left="0" w:right="14" w:firstLine="567"/>
        <w:jc w:val="both"/>
        <w:rPr>
          <w:rFonts w:ascii="Times New Roman" w:eastAsia="Times New Roman" w:hAnsi="Times New Roman" w:cs="Times New Roman"/>
          <w:color w:val="000000"/>
          <w:sz w:val="24"/>
          <w:szCs w:val="24"/>
          <w:lang w:val="en-US" w:eastAsia="ru-RU"/>
        </w:rPr>
      </w:pPr>
      <w:r w:rsidRPr="00606035">
        <w:rPr>
          <w:rFonts w:ascii="Times New Roman" w:eastAsia="Times New Roman" w:hAnsi="Times New Roman" w:cs="Times New Roman"/>
          <w:color w:val="000000"/>
          <w:sz w:val="24"/>
          <w:szCs w:val="24"/>
          <w:lang w:val="en" w:eastAsia="ru-RU"/>
        </w:rPr>
        <w:t>The process of assessing the adequacy of the Bank's internal (economic) capital is designed to:</w:t>
      </w:r>
    </w:p>
    <w:p w14:paraId="47BC437F" w14:textId="77777777" w:rsidR="00606035" w:rsidRPr="002C5554" w:rsidRDefault="00E15939" w:rsidP="00ED7748">
      <w:pPr>
        <w:pStyle w:val="aa"/>
        <w:numPr>
          <w:ilvl w:val="0"/>
          <w:numId w:val="39"/>
        </w:numPr>
        <w:tabs>
          <w:tab w:val="left" w:pos="709"/>
          <w:tab w:val="left" w:pos="993"/>
        </w:tabs>
        <w:spacing w:line="240" w:lineRule="auto"/>
        <w:ind w:left="0" w:right="11" w:firstLine="567"/>
        <w:jc w:val="both"/>
        <w:rPr>
          <w:rFonts w:ascii="Times New Roman" w:eastAsia="Times New Roman" w:hAnsi="Times New Roman" w:cs="Times New Roman"/>
          <w:bCs/>
          <w:sz w:val="24"/>
          <w:szCs w:val="24"/>
          <w:lang w:val="en-US" w:eastAsia="ru-RU"/>
        </w:rPr>
      </w:pPr>
      <w:r w:rsidRPr="00606035">
        <w:rPr>
          <w:rFonts w:ascii="Times New Roman" w:eastAsia="Times New Roman" w:hAnsi="Times New Roman" w:cs="Times New Roman"/>
          <w:bCs/>
          <w:sz w:val="24"/>
          <w:szCs w:val="24"/>
          <w:lang w:val="en" w:eastAsia="ru-RU"/>
        </w:rPr>
        <w:t>identification, measurement, aggregation and control of Bank risks;</w:t>
      </w:r>
    </w:p>
    <w:p w14:paraId="1C76468A" w14:textId="77777777" w:rsidR="00606035" w:rsidRPr="002C5554" w:rsidRDefault="00E15939" w:rsidP="00ED7748">
      <w:pPr>
        <w:pStyle w:val="aa"/>
        <w:numPr>
          <w:ilvl w:val="0"/>
          <w:numId w:val="39"/>
        </w:numPr>
        <w:tabs>
          <w:tab w:val="left" w:pos="709"/>
          <w:tab w:val="left" w:pos="993"/>
        </w:tabs>
        <w:spacing w:line="240" w:lineRule="auto"/>
        <w:ind w:left="0" w:right="11" w:firstLine="567"/>
        <w:jc w:val="both"/>
        <w:rPr>
          <w:rFonts w:ascii="Times New Roman" w:eastAsia="Times New Roman" w:hAnsi="Times New Roman" w:cs="Times New Roman"/>
          <w:bCs/>
          <w:sz w:val="24"/>
          <w:szCs w:val="24"/>
          <w:lang w:val="en-US" w:eastAsia="ru-RU"/>
        </w:rPr>
      </w:pPr>
      <w:r w:rsidRPr="00606035">
        <w:rPr>
          <w:rFonts w:ascii="Times New Roman" w:eastAsia="Times New Roman" w:hAnsi="Times New Roman" w:cs="Times New Roman"/>
          <w:bCs/>
          <w:sz w:val="24"/>
          <w:szCs w:val="24"/>
          <w:lang w:val="en" w:eastAsia="ru-RU"/>
        </w:rPr>
        <w:t>retention of a sufficient amount of the Bank's internal (economic) capital;</w:t>
      </w:r>
    </w:p>
    <w:p w14:paraId="007CE917" w14:textId="77777777" w:rsidR="00606035" w:rsidRPr="002C5554" w:rsidRDefault="00E15939" w:rsidP="00ED7748">
      <w:pPr>
        <w:pStyle w:val="aa"/>
        <w:numPr>
          <w:ilvl w:val="0"/>
          <w:numId w:val="39"/>
        </w:numPr>
        <w:tabs>
          <w:tab w:val="left" w:pos="709"/>
          <w:tab w:val="left" w:pos="993"/>
        </w:tabs>
        <w:spacing w:line="240" w:lineRule="auto"/>
        <w:ind w:left="0" w:right="11" w:firstLine="567"/>
        <w:jc w:val="both"/>
        <w:rPr>
          <w:rFonts w:ascii="Times New Roman" w:eastAsia="Times New Roman" w:hAnsi="Times New Roman" w:cs="Times New Roman"/>
          <w:bCs/>
          <w:sz w:val="24"/>
          <w:szCs w:val="24"/>
          <w:lang w:val="en-US" w:eastAsia="ru-RU"/>
        </w:rPr>
      </w:pPr>
      <w:r w:rsidRPr="00606035">
        <w:rPr>
          <w:rFonts w:ascii="Times New Roman" w:eastAsia="Times New Roman" w:hAnsi="Times New Roman" w:cs="Times New Roman"/>
          <w:bCs/>
          <w:sz w:val="24"/>
          <w:szCs w:val="24"/>
          <w:lang w:val="en" w:eastAsia="ru-RU"/>
        </w:rPr>
        <w:t>increase the effectiveness of risk management.</w:t>
      </w:r>
    </w:p>
    <w:p w14:paraId="5306B95F" w14:textId="77777777" w:rsidR="005269A4" w:rsidRPr="002C5554" w:rsidRDefault="005269A4" w:rsidP="00ED7748">
      <w:pPr>
        <w:pStyle w:val="aa"/>
        <w:tabs>
          <w:tab w:val="left" w:pos="993"/>
        </w:tabs>
        <w:ind w:left="0" w:right="11" w:firstLine="567"/>
        <w:jc w:val="both"/>
        <w:rPr>
          <w:rFonts w:ascii="Times New Roman" w:eastAsia="Times New Roman" w:hAnsi="Times New Roman"/>
          <w:bCs/>
          <w:sz w:val="24"/>
          <w:szCs w:val="24"/>
          <w:lang w:val="en-US" w:eastAsia="ru-RU"/>
        </w:rPr>
      </w:pPr>
    </w:p>
    <w:p w14:paraId="44025D2F" w14:textId="77777777" w:rsidR="00606035" w:rsidRPr="002C5554" w:rsidRDefault="00E15939" w:rsidP="00ED7748">
      <w:pPr>
        <w:pStyle w:val="aa"/>
        <w:tabs>
          <w:tab w:val="left" w:pos="993"/>
        </w:tabs>
        <w:ind w:left="0" w:right="11" w:firstLine="567"/>
        <w:jc w:val="both"/>
        <w:rPr>
          <w:rFonts w:ascii="Times New Roman" w:eastAsia="Times New Roman" w:hAnsi="Times New Roman"/>
          <w:bCs/>
          <w:sz w:val="24"/>
          <w:szCs w:val="24"/>
          <w:lang w:val="en-US" w:eastAsia="ru-RU"/>
        </w:rPr>
      </w:pPr>
      <w:r w:rsidRPr="00606035">
        <w:rPr>
          <w:rFonts w:ascii="Times New Roman" w:eastAsia="Times New Roman" w:hAnsi="Times New Roman"/>
          <w:bCs/>
          <w:sz w:val="24"/>
          <w:szCs w:val="24"/>
          <w:lang w:val="en" w:eastAsia="ru-RU"/>
        </w:rPr>
        <w:t xml:space="preserve">In accordance with the Methodology for Determining Internal Capital, the calculation of the Bank's internal capital takes into account the following risks of the Bank: </w:t>
      </w:r>
    </w:p>
    <w:p w14:paraId="29BDBA0E" w14:textId="77777777" w:rsidR="00230FD6" w:rsidRPr="002C5554" w:rsidRDefault="00230FD6" w:rsidP="00606035">
      <w:pPr>
        <w:pStyle w:val="aa"/>
        <w:tabs>
          <w:tab w:val="left" w:pos="993"/>
        </w:tabs>
        <w:ind w:left="0" w:right="11" w:firstLine="426"/>
        <w:jc w:val="both"/>
        <w:rPr>
          <w:sz w:val="24"/>
          <w:szCs w:val="24"/>
          <w:lang w:val="en-US"/>
        </w:rPr>
      </w:pPr>
    </w:p>
    <w:p w14:paraId="6E9766BA" w14:textId="77777777" w:rsidR="005269A4" w:rsidRPr="002C5554" w:rsidRDefault="005269A4" w:rsidP="00606035">
      <w:pPr>
        <w:pStyle w:val="aa"/>
        <w:tabs>
          <w:tab w:val="left" w:pos="993"/>
        </w:tabs>
        <w:ind w:left="0" w:right="11" w:firstLine="426"/>
        <w:jc w:val="both"/>
        <w:rPr>
          <w:sz w:val="24"/>
          <w:szCs w:val="24"/>
          <w:lang w:val="en-US"/>
        </w:rPr>
      </w:pPr>
    </w:p>
    <w:p w14:paraId="414CDDE3" w14:textId="77777777" w:rsidR="005269A4" w:rsidRPr="002C5554" w:rsidRDefault="005269A4" w:rsidP="00606035">
      <w:pPr>
        <w:pStyle w:val="aa"/>
        <w:tabs>
          <w:tab w:val="left" w:pos="993"/>
        </w:tabs>
        <w:ind w:left="0" w:right="11" w:firstLine="426"/>
        <w:jc w:val="both"/>
        <w:rPr>
          <w:sz w:val="24"/>
          <w:szCs w:val="24"/>
          <w:lang w:val="en-US"/>
        </w:rPr>
      </w:pPr>
    </w:p>
    <w:p w14:paraId="3CE93218" w14:textId="77777777" w:rsidR="005B2ADB" w:rsidRPr="002C5554" w:rsidRDefault="005B2ADB" w:rsidP="00606035">
      <w:pPr>
        <w:pStyle w:val="aa"/>
        <w:tabs>
          <w:tab w:val="left" w:pos="993"/>
        </w:tabs>
        <w:ind w:left="0" w:right="11" w:firstLine="426"/>
        <w:jc w:val="both"/>
        <w:rPr>
          <w:sz w:val="24"/>
          <w:szCs w:val="24"/>
          <w:lang w:val="en-US"/>
        </w:rPr>
      </w:pPr>
    </w:p>
    <w:p w14:paraId="59339A62" w14:textId="77777777" w:rsidR="005B2ADB" w:rsidRPr="002C5554" w:rsidRDefault="005B2ADB" w:rsidP="00606035">
      <w:pPr>
        <w:pStyle w:val="aa"/>
        <w:tabs>
          <w:tab w:val="left" w:pos="993"/>
        </w:tabs>
        <w:ind w:left="0" w:right="11" w:firstLine="426"/>
        <w:jc w:val="both"/>
        <w:rPr>
          <w:sz w:val="24"/>
          <w:szCs w:val="24"/>
          <w:lang w:val="en-US"/>
        </w:rPr>
      </w:pPr>
    </w:p>
    <w:p w14:paraId="2BB68F60" w14:textId="77777777" w:rsidR="005269A4" w:rsidRPr="002C5554" w:rsidRDefault="005269A4" w:rsidP="00606035">
      <w:pPr>
        <w:pStyle w:val="aa"/>
        <w:tabs>
          <w:tab w:val="left" w:pos="993"/>
        </w:tabs>
        <w:ind w:left="0" w:right="11" w:firstLine="426"/>
        <w:jc w:val="both"/>
        <w:rPr>
          <w:sz w:val="24"/>
          <w:szCs w:val="24"/>
          <w:lang w:val="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69"/>
        <w:gridCol w:w="6862"/>
      </w:tblGrid>
      <w:tr w:rsidR="00742452" w14:paraId="5DB9551A" w14:textId="77777777" w:rsidTr="000101B2">
        <w:trPr>
          <w:trHeight w:val="292"/>
        </w:trPr>
        <w:tc>
          <w:tcPr>
            <w:tcW w:w="562" w:type="dxa"/>
            <w:noWrap/>
            <w:vAlign w:val="bottom"/>
            <w:hideMark/>
          </w:tcPr>
          <w:p w14:paraId="15A70D53" w14:textId="77777777" w:rsidR="00606035" w:rsidRPr="00606035" w:rsidRDefault="00E15939" w:rsidP="000101B2">
            <w:pPr>
              <w:tabs>
                <w:tab w:val="left" w:pos="993"/>
              </w:tabs>
              <w:ind w:firstLine="22"/>
              <w:jc w:val="center"/>
              <w:rPr>
                <w:b/>
              </w:rPr>
            </w:pPr>
            <w:r w:rsidRPr="00606035">
              <w:rPr>
                <w:b/>
                <w:lang w:val="en"/>
              </w:rPr>
              <w:t>№</w:t>
            </w:r>
          </w:p>
        </w:tc>
        <w:tc>
          <w:tcPr>
            <w:tcW w:w="2069" w:type="dxa"/>
            <w:noWrap/>
            <w:vAlign w:val="bottom"/>
            <w:hideMark/>
          </w:tcPr>
          <w:p w14:paraId="44B6EC83" w14:textId="77777777" w:rsidR="00606035" w:rsidRPr="00606035" w:rsidRDefault="00E15939" w:rsidP="000101B2">
            <w:pPr>
              <w:tabs>
                <w:tab w:val="left" w:pos="993"/>
              </w:tabs>
              <w:ind w:firstLine="172"/>
              <w:jc w:val="center"/>
              <w:rPr>
                <w:b/>
              </w:rPr>
            </w:pPr>
            <w:r w:rsidRPr="00606035">
              <w:rPr>
                <w:b/>
                <w:lang w:val="en"/>
              </w:rPr>
              <w:t>Type of risk</w:t>
            </w:r>
          </w:p>
        </w:tc>
        <w:tc>
          <w:tcPr>
            <w:tcW w:w="6862" w:type="dxa"/>
            <w:noWrap/>
            <w:vAlign w:val="bottom"/>
            <w:hideMark/>
          </w:tcPr>
          <w:p w14:paraId="389C42BE" w14:textId="77777777" w:rsidR="00606035" w:rsidRPr="00606035" w:rsidRDefault="00E15939" w:rsidP="000101B2">
            <w:pPr>
              <w:tabs>
                <w:tab w:val="left" w:pos="993"/>
              </w:tabs>
              <w:ind w:firstLine="707"/>
              <w:jc w:val="center"/>
              <w:rPr>
                <w:b/>
              </w:rPr>
            </w:pPr>
            <w:r w:rsidRPr="00606035">
              <w:rPr>
                <w:b/>
                <w:lang w:val="en"/>
              </w:rPr>
              <w:t>Loss description</w:t>
            </w:r>
          </w:p>
        </w:tc>
      </w:tr>
      <w:tr w:rsidR="00742452" w:rsidRPr="00D25369" w14:paraId="4DC584B6" w14:textId="77777777" w:rsidTr="00191298">
        <w:trPr>
          <w:trHeight w:val="1052"/>
        </w:trPr>
        <w:tc>
          <w:tcPr>
            <w:tcW w:w="562" w:type="dxa"/>
            <w:noWrap/>
            <w:vAlign w:val="center"/>
            <w:hideMark/>
          </w:tcPr>
          <w:p w14:paraId="2A02BDBC" w14:textId="77777777" w:rsidR="00606035" w:rsidRPr="00606035" w:rsidRDefault="00E15939" w:rsidP="000101B2">
            <w:pPr>
              <w:tabs>
                <w:tab w:val="left" w:pos="993"/>
              </w:tabs>
              <w:ind w:firstLine="22"/>
              <w:jc w:val="right"/>
              <w:rPr>
                <w:b/>
              </w:rPr>
            </w:pPr>
            <w:r w:rsidRPr="00606035">
              <w:rPr>
                <w:b/>
                <w:lang w:val="en"/>
              </w:rPr>
              <w:t>1</w:t>
            </w:r>
          </w:p>
        </w:tc>
        <w:tc>
          <w:tcPr>
            <w:tcW w:w="2069" w:type="dxa"/>
            <w:noWrap/>
            <w:vAlign w:val="center"/>
            <w:hideMark/>
          </w:tcPr>
          <w:p w14:paraId="46358F5E" w14:textId="77777777" w:rsidR="00606035" w:rsidRPr="00606035" w:rsidRDefault="00E15939" w:rsidP="000101B2">
            <w:pPr>
              <w:tabs>
                <w:tab w:val="left" w:pos="993"/>
              </w:tabs>
            </w:pPr>
            <w:r w:rsidRPr="00606035">
              <w:rPr>
                <w:lang w:val="en"/>
              </w:rPr>
              <w:t>Credit</w:t>
            </w:r>
          </w:p>
        </w:tc>
        <w:tc>
          <w:tcPr>
            <w:tcW w:w="6862" w:type="dxa"/>
            <w:vAlign w:val="bottom"/>
            <w:hideMark/>
          </w:tcPr>
          <w:p w14:paraId="0FC9DA39" w14:textId="77777777" w:rsidR="00606035" w:rsidRPr="002C5554" w:rsidRDefault="00E15939" w:rsidP="000101B2">
            <w:pPr>
              <w:tabs>
                <w:tab w:val="left" w:pos="993"/>
              </w:tabs>
              <w:jc w:val="both"/>
              <w:rPr>
                <w:lang w:val="en-US"/>
              </w:rPr>
            </w:pPr>
            <w:r w:rsidRPr="00606035">
              <w:rPr>
                <w:lang w:val="en"/>
              </w:rPr>
              <w:t>Losses resulting from credit risk represent a net loss on loans issued, i.e. a loss that the Bank incurs in the event of borrowers defaulting, taking into account proceeds from the sale of collateral.</w:t>
            </w:r>
          </w:p>
        </w:tc>
      </w:tr>
      <w:tr w:rsidR="00742452" w:rsidRPr="00D25369" w14:paraId="2C2E512D" w14:textId="77777777" w:rsidTr="00191298">
        <w:trPr>
          <w:trHeight w:val="359"/>
        </w:trPr>
        <w:tc>
          <w:tcPr>
            <w:tcW w:w="562" w:type="dxa"/>
            <w:noWrap/>
            <w:vAlign w:val="center"/>
            <w:hideMark/>
          </w:tcPr>
          <w:p w14:paraId="2D812950" w14:textId="77777777" w:rsidR="00606035" w:rsidRPr="00606035" w:rsidRDefault="00E15939" w:rsidP="000101B2">
            <w:pPr>
              <w:tabs>
                <w:tab w:val="left" w:pos="993"/>
              </w:tabs>
              <w:ind w:firstLine="22"/>
              <w:jc w:val="right"/>
              <w:rPr>
                <w:b/>
              </w:rPr>
            </w:pPr>
            <w:r w:rsidRPr="00606035">
              <w:rPr>
                <w:b/>
                <w:lang w:val="en"/>
              </w:rPr>
              <w:t>2</w:t>
            </w:r>
          </w:p>
        </w:tc>
        <w:tc>
          <w:tcPr>
            <w:tcW w:w="2069" w:type="dxa"/>
            <w:noWrap/>
            <w:vAlign w:val="center"/>
            <w:hideMark/>
          </w:tcPr>
          <w:p w14:paraId="4F1AAAD1" w14:textId="77777777" w:rsidR="00606035" w:rsidRPr="00606035" w:rsidRDefault="00E15939" w:rsidP="000101B2">
            <w:pPr>
              <w:tabs>
                <w:tab w:val="left" w:pos="993"/>
              </w:tabs>
            </w:pPr>
            <w:r w:rsidRPr="00606035">
              <w:rPr>
                <w:lang w:val="en"/>
              </w:rPr>
              <w:t>Market:</w:t>
            </w:r>
          </w:p>
        </w:tc>
        <w:tc>
          <w:tcPr>
            <w:tcW w:w="6862" w:type="dxa"/>
            <w:vAlign w:val="bottom"/>
            <w:hideMark/>
          </w:tcPr>
          <w:p w14:paraId="4D17FC13" w14:textId="77777777" w:rsidR="00606035" w:rsidRPr="002C5554" w:rsidRDefault="00E15939" w:rsidP="000101B2">
            <w:pPr>
              <w:tabs>
                <w:tab w:val="left" w:pos="993"/>
              </w:tabs>
              <w:rPr>
                <w:lang w:val="en-US"/>
              </w:rPr>
            </w:pPr>
            <w:r w:rsidRPr="00606035">
              <w:rPr>
                <w:lang w:val="en"/>
              </w:rPr>
              <w:t>Losses resulting from changes in the external environment</w:t>
            </w:r>
          </w:p>
        </w:tc>
      </w:tr>
      <w:tr w:rsidR="00742452" w14:paraId="32A2EE97" w14:textId="77777777" w:rsidTr="00191298">
        <w:trPr>
          <w:trHeight w:val="292"/>
        </w:trPr>
        <w:tc>
          <w:tcPr>
            <w:tcW w:w="562" w:type="dxa"/>
            <w:noWrap/>
            <w:vAlign w:val="center"/>
            <w:hideMark/>
          </w:tcPr>
          <w:p w14:paraId="07ECF0E3" w14:textId="77777777" w:rsidR="00606035" w:rsidRPr="002C5554" w:rsidRDefault="00606035" w:rsidP="000101B2">
            <w:pPr>
              <w:tabs>
                <w:tab w:val="left" w:pos="993"/>
              </w:tabs>
              <w:ind w:firstLine="22"/>
              <w:jc w:val="right"/>
              <w:rPr>
                <w:b/>
                <w:lang w:val="en-US"/>
              </w:rPr>
            </w:pPr>
          </w:p>
        </w:tc>
        <w:tc>
          <w:tcPr>
            <w:tcW w:w="2069" w:type="dxa"/>
            <w:noWrap/>
            <w:vAlign w:val="center"/>
            <w:hideMark/>
          </w:tcPr>
          <w:p w14:paraId="27E1D729" w14:textId="77777777" w:rsidR="00606035" w:rsidRPr="00606035" w:rsidRDefault="00E15939" w:rsidP="000101B2">
            <w:pPr>
              <w:tabs>
                <w:tab w:val="left" w:pos="993"/>
              </w:tabs>
            </w:pPr>
            <w:r w:rsidRPr="00606035">
              <w:rPr>
                <w:lang w:val="en"/>
              </w:rPr>
              <w:t>currency</w:t>
            </w:r>
          </w:p>
        </w:tc>
        <w:tc>
          <w:tcPr>
            <w:tcW w:w="6862" w:type="dxa"/>
            <w:noWrap/>
            <w:vAlign w:val="bottom"/>
            <w:hideMark/>
          </w:tcPr>
          <w:p w14:paraId="1E07F732" w14:textId="77777777" w:rsidR="00606035" w:rsidRPr="00606035" w:rsidRDefault="00E15939" w:rsidP="000101B2">
            <w:pPr>
              <w:tabs>
                <w:tab w:val="left" w:pos="993"/>
              </w:tabs>
            </w:pPr>
            <w:r w:rsidRPr="00606035">
              <w:rPr>
                <w:lang w:val="en"/>
              </w:rPr>
              <w:t>currency exchange rate changes</w:t>
            </w:r>
          </w:p>
        </w:tc>
      </w:tr>
      <w:tr w:rsidR="00742452" w:rsidRPr="00D25369" w14:paraId="77635C2E" w14:textId="77777777" w:rsidTr="00191298">
        <w:trPr>
          <w:trHeight w:val="1389"/>
        </w:trPr>
        <w:tc>
          <w:tcPr>
            <w:tcW w:w="562" w:type="dxa"/>
            <w:noWrap/>
            <w:vAlign w:val="center"/>
            <w:hideMark/>
          </w:tcPr>
          <w:p w14:paraId="2FA7DDE4" w14:textId="77777777" w:rsidR="00606035" w:rsidRPr="00606035" w:rsidRDefault="00606035" w:rsidP="000101B2">
            <w:pPr>
              <w:tabs>
                <w:tab w:val="left" w:pos="993"/>
              </w:tabs>
              <w:ind w:firstLine="22"/>
              <w:jc w:val="right"/>
              <w:rPr>
                <w:b/>
              </w:rPr>
            </w:pPr>
          </w:p>
        </w:tc>
        <w:tc>
          <w:tcPr>
            <w:tcW w:w="2069" w:type="dxa"/>
            <w:noWrap/>
            <w:vAlign w:val="center"/>
            <w:hideMark/>
          </w:tcPr>
          <w:p w14:paraId="55F82ECC" w14:textId="77777777" w:rsidR="00606035" w:rsidRPr="00606035" w:rsidRDefault="00E15939" w:rsidP="000101B2">
            <w:pPr>
              <w:tabs>
                <w:tab w:val="left" w:pos="993"/>
              </w:tabs>
            </w:pPr>
            <w:r w:rsidRPr="00606035">
              <w:rPr>
                <w:lang w:val="en"/>
              </w:rPr>
              <w:t>interest</w:t>
            </w:r>
          </w:p>
        </w:tc>
        <w:tc>
          <w:tcPr>
            <w:tcW w:w="6862" w:type="dxa"/>
            <w:vAlign w:val="bottom"/>
            <w:hideMark/>
          </w:tcPr>
          <w:p w14:paraId="2D282014" w14:textId="77777777" w:rsidR="00606035" w:rsidRPr="002C5554" w:rsidRDefault="00E15939" w:rsidP="000101B2">
            <w:pPr>
              <w:tabs>
                <w:tab w:val="left" w:pos="993"/>
              </w:tabs>
              <w:jc w:val="both"/>
              <w:rPr>
                <w:lang w:val="en-US"/>
              </w:rPr>
            </w:pPr>
            <w:r w:rsidRPr="00606035">
              <w:rPr>
                <w:lang w:val="en"/>
              </w:rPr>
              <w:t>The amount of interest rate risk (losses from revaluation) of the bond portfolio is equal to the sum of the interest rate risk for each individual debt security accounted for at fair value through profit or loss or through other comprehensive income</w:t>
            </w:r>
          </w:p>
        </w:tc>
      </w:tr>
      <w:tr w:rsidR="00742452" w:rsidRPr="00D25369" w14:paraId="589F4E4F" w14:textId="77777777" w:rsidTr="00191298">
        <w:trPr>
          <w:trHeight w:val="292"/>
        </w:trPr>
        <w:tc>
          <w:tcPr>
            <w:tcW w:w="562" w:type="dxa"/>
            <w:noWrap/>
            <w:vAlign w:val="center"/>
            <w:hideMark/>
          </w:tcPr>
          <w:p w14:paraId="39D44467" w14:textId="77777777" w:rsidR="00606035" w:rsidRPr="00606035" w:rsidRDefault="00E15939" w:rsidP="000101B2">
            <w:pPr>
              <w:tabs>
                <w:tab w:val="left" w:pos="993"/>
              </w:tabs>
              <w:ind w:firstLine="22"/>
              <w:jc w:val="right"/>
              <w:rPr>
                <w:b/>
              </w:rPr>
            </w:pPr>
            <w:r w:rsidRPr="00606035">
              <w:rPr>
                <w:b/>
                <w:lang w:val="en"/>
              </w:rPr>
              <w:lastRenderedPageBreak/>
              <w:t>3</w:t>
            </w:r>
          </w:p>
        </w:tc>
        <w:tc>
          <w:tcPr>
            <w:tcW w:w="2069" w:type="dxa"/>
            <w:noWrap/>
            <w:vAlign w:val="center"/>
            <w:hideMark/>
          </w:tcPr>
          <w:p w14:paraId="1F50E848" w14:textId="77777777" w:rsidR="00606035" w:rsidRPr="00606035" w:rsidRDefault="00E15939" w:rsidP="000101B2">
            <w:pPr>
              <w:tabs>
                <w:tab w:val="left" w:pos="993"/>
              </w:tabs>
            </w:pPr>
            <w:r w:rsidRPr="00606035">
              <w:rPr>
                <w:lang w:val="en"/>
              </w:rPr>
              <w:t>Operational</w:t>
            </w:r>
          </w:p>
        </w:tc>
        <w:tc>
          <w:tcPr>
            <w:tcW w:w="6862" w:type="dxa"/>
            <w:noWrap/>
            <w:vAlign w:val="bottom"/>
            <w:hideMark/>
          </w:tcPr>
          <w:p w14:paraId="7DEBC2DB" w14:textId="77777777" w:rsidR="00606035" w:rsidRPr="002C5554" w:rsidRDefault="00E15939" w:rsidP="000101B2">
            <w:pPr>
              <w:tabs>
                <w:tab w:val="left" w:pos="993"/>
              </w:tabs>
              <w:jc w:val="both"/>
              <w:rPr>
                <w:lang w:val="en-US"/>
              </w:rPr>
            </w:pPr>
            <w:r w:rsidRPr="00606035">
              <w:rPr>
                <w:lang w:val="en"/>
              </w:rPr>
              <w:t>Losses resulting from inadequate and insufficient internal processes, human resources and systems, or the influence of external events</w:t>
            </w:r>
          </w:p>
        </w:tc>
      </w:tr>
      <w:tr w:rsidR="00742452" w:rsidRPr="00D25369" w14:paraId="186588A6" w14:textId="77777777" w:rsidTr="00191298">
        <w:trPr>
          <w:trHeight w:val="292"/>
        </w:trPr>
        <w:tc>
          <w:tcPr>
            <w:tcW w:w="562" w:type="dxa"/>
            <w:noWrap/>
            <w:vAlign w:val="center"/>
          </w:tcPr>
          <w:p w14:paraId="728C0530" w14:textId="77777777" w:rsidR="00606035" w:rsidRPr="00606035" w:rsidRDefault="00E15939" w:rsidP="000101B2">
            <w:pPr>
              <w:tabs>
                <w:tab w:val="left" w:pos="993"/>
              </w:tabs>
              <w:ind w:firstLine="22"/>
              <w:jc w:val="right"/>
              <w:rPr>
                <w:b/>
              </w:rPr>
            </w:pPr>
            <w:r w:rsidRPr="00606035">
              <w:rPr>
                <w:b/>
                <w:lang w:val="en"/>
              </w:rPr>
              <w:t>4</w:t>
            </w:r>
          </w:p>
        </w:tc>
        <w:tc>
          <w:tcPr>
            <w:tcW w:w="2069" w:type="dxa"/>
            <w:noWrap/>
            <w:vAlign w:val="center"/>
          </w:tcPr>
          <w:p w14:paraId="00AFF023" w14:textId="77777777" w:rsidR="00606035" w:rsidRPr="00606035" w:rsidRDefault="00E15939" w:rsidP="000101B2">
            <w:pPr>
              <w:tabs>
                <w:tab w:val="left" w:pos="993"/>
              </w:tabs>
            </w:pPr>
            <w:r w:rsidRPr="00606035">
              <w:rPr>
                <w:lang w:val="en"/>
              </w:rPr>
              <w:t>Business risk</w:t>
            </w:r>
          </w:p>
        </w:tc>
        <w:tc>
          <w:tcPr>
            <w:tcW w:w="6862" w:type="dxa"/>
            <w:noWrap/>
            <w:vAlign w:val="bottom"/>
          </w:tcPr>
          <w:p w14:paraId="789C1F31" w14:textId="77777777" w:rsidR="00606035" w:rsidRPr="002C5554" w:rsidRDefault="00E15939" w:rsidP="000101B2">
            <w:pPr>
              <w:tabs>
                <w:tab w:val="left" w:pos="993"/>
              </w:tabs>
              <w:rPr>
                <w:lang w:val="en-US"/>
              </w:rPr>
            </w:pPr>
            <w:r w:rsidRPr="00606035">
              <w:rPr>
                <w:lang w:val="en"/>
              </w:rPr>
              <w:t>Losses arising from unforeseen changes in the volume of the Bank's activities, which can lead to significant profit losses.</w:t>
            </w:r>
          </w:p>
        </w:tc>
      </w:tr>
      <w:tr w:rsidR="00742452" w:rsidRPr="00D25369" w14:paraId="093F6357" w14:textId="77777777" w:rsidTr="00191298">
        <w:trPr>
          <w:trHeight w:val="292"/>
        </w:trPr>
        <w:tc>
          <w:tcPr>
            <w:tcW w:w="562" w:type="dxa"/>
            <w:noWrap/>
            <w:vAlign w:val="center"/>
          </w:tcPr>
          <w:p w14:paraId="0A381243" w14:textId="77777777" w:rsidR="00065784" w:rsidRPr="00065784" w:rsidRDefault="00E15939" w:rsidP="000101B2">
            <w:pPr>
              <w:tabs>
                <w:tab w:val="left" w:pos="993"/>
              </w:tabs>
              <w:ind w:firstLine="22"/>
              <w:jc w:val="right"/>
              <w:rPr>
                <w:b/>
                <w:lang w:val="kk-KZ"/>
              </w:rPr>
            </w:pPr>
            <w:r>
              <w:rPr>
                <w:b/>
                <w:lang w:val="en"/>
              </w:rPr>
              <w:t>5</w:t>
            </w:r>
          </w:p>
        </w:tc>
        <w:tc>
          <w:tcPr>
            <w:tcW w:w="2069" w:type="dxa"/>
            <w:noWrap/>
            <w:vAlign w:val="center"/>
          </w:tcPr>
          <w:p w14:paraId="24215288" w14:textId="77777777" w:rsidR="00065784" w:rsidRPr="00606035" w:rsidRDefault="00E15939" w:rsidP="000101B2">
            <w:pPr>
              <w:tabs>
                <w:tab w:val="left" w:pos="993"/>
              </w:tabs>
            </w:pPr>
            <w:r w:rsidRPr="00C80712">
              <w:rPr>
                <w:lang w:val="en"/>
              </w:rPr>
              <w:t>Real estate risk</w:t>
            </w:r>
          </w:p>
        </w:tc>
        <w:tc>
          <w:tcPr>
            <w:tcW w:w="6862" w:type="dxa"/>
            <w:noWrap/>
            <w:vAlign w:val="bottom"/>
          </w:tcPr>
          <w:p w14:paraId="2D67FC1B" w14:textId="77777777" w:rsidR="00065784" w:rsidRPr="002C5554" w:rsidRDefault="00E15939" w:rsidP="000101B2">
            <w:pPr>
              <w:tabs>
                <w:tab w:val="left" w:pos="993"/>
              </w:tabs>
              <w:rPr>
                <w:lang w:val="en-US"/>
              </w:rPr>
            </w:pPr>
            <w:r w:rsidRPr="00C80712">
              <w:rPr>
                <w:iCs/>
                <w:lang w:val="en"/>
              </w:rPr>
              <w:t>Losses incurred when the share of the market/book value of real estate assets changes from the amount of the Bank's equity.</w:t>
            </w:r>
          </w:p>
        </w:tc>
      </w:tr>
    </w:tbl>
    <w:p w14:paraId="5FD2B7AD" w14:textId="77777777" w:rsidR="00C1726E" w:rsidRPr="002C5554" w:rsidRDefault="00C1726E" w:rsidP="00C1726E">
      <w:pPr>
        <w:pStyle w:val="pj"/>
        <w:rPr>
          <w:lang w:val="en-US"/>
        </w:rPr>
      </w:pPr>
    </w:p>
    <w:p w14:paraId="31DD5518" w14:textId="77777777" w:rsidR="00C1726E" w:rsidRPr="002C5554" w:rsidRDefault="00E15939" w:rsidP="00ED7748">
      <w:pPr>
        <w:pStyle w:val="pj"/>
        <w:ind w:firstLine="567"/>
        <w:rPr>
          <w:lang w:val="en-US"/>
        </w:rPr>
      </w:pPr>
      <w:r w:rsidRPr="00606035">
        <w:rPr>
          <w:lang w:val="en"/>
        </w:rPr>
        <w:t xml:space="preserve">As of 01.01.2026, the Bank has provided a sufficient reserve of available equity in relation to the estimated volume of domestic (economic) capital. </w:t>
      </w:r>
    </w:p>
    <w:p w14:paraId="13164D1E" w14:textId="77777777" w:rsidR="005A62FC" w:rsidRPr="002C5554" w:rsidRDefault="005A62FC" w:rsidP="00C1726E">
      <w:pPr>
        <w:pStyle w:val="pj"/>
        <w:rPr>
          <w:lang w:val="en-US"/>
        </w:rPr>
      </w:pPr>
    </w:p>
    <w:p w14:paraId="599931BE" w14:textId="77777777" w:rsidR="00606035" w:rsidRPr="002C5554" w:rsidRDefault="00606035" w:rsidP="00AB4FAA">
      <w:pPr>
        <w:pStyle w:val="pj"/>
        <w:rPr>
          <w:rStyle w:val="s19"/>
          <w:color w:val="000000" w:themeColor="text1"/>
          <w:lang w:val="en-US"/>
        </w:rPr>
      </w:pPr>
    </w:p>
    <w:p w14:paraId="6516288D" w14:textId="77777777" w:rsidR="00606035" w:rsidRPr="002C5554" w:rsidRDefault="00606035" w:rsidP="00AB4FAA">
      <w:pPr>
        <w:pStyle w:val="pj"/>
        <w:rPr>
          <w:rStyle w:val="s19"/>
          <w:color w:val="000000" w:themeColor="text1"/>
          <w:lang w:val="en-US"/>
        </w:rPr>
      </w:pPr>
    </w:p>
    <w:p w14:paraId="1E1EA3F5" w14:textId="77777777" w:rsidR="00606035" w:rsidRPr="002C5554" w:rsidRDefault="00606035" w:rsidP="00AB4FAA">
      <w:pPr>
        <w:pStyle w:val="pj"/>
        <w:rPr>
          <w:color w:val="000000" w:themeColor="text1"/>
          <w:lang w:val="en-US"/>
        </w:rPr>
      </w:pPr>
    </w:p>
    <w:p w14:paraId="1884B5B7" w14:textId="77777777" w:rsidR="00AB4FAA" w:rsidRPr="002C5554" w:rsidRDefault="00E15939" w:rsidP="00AB4FAA">
      <w:pPr>
        <w:pStyle w:val="pj"/>
        <w:ind w:firstLine="0"/>
        <w:rPr>
          <w:lang w:val="en-US"/>
        </w:rPr>
      </w:pPr>
      <w:r w:rsidRPr="002C5554">
        <w:rPr>
          <w:rStyle w:val="s19"/>
          <w:lang w:val="en-US"/>
        </w:rPr>
        <w:t> </w:t>
      </w:r>
    </w:p>
    <w:p w14:paraId="363BDA70" w14:textId="77777777" w:rsidR="0016444F" w:rsidRPr="002C5554" w:rsidRDefault="00E15939">
      <w:pPr>
        <w:spacing w:line="259" w:lineRule="auto"/>
        <w:rPr>
          <w:b/>
          <w:iCs/>
          <w:lang w:val="en-US"/>
        </w:rPr>
      </w:pPr>
      <w:r w:rsidRPr="002C5554">
        <w:rPr>
          <w:lang w:val="en-US"/>
        </w:rPr>
        <w:br w:type="page"/>
      </w:r>
    </w:p>
    <w:p w14:paraId="3137D3EE" w14:textId="77777777" w:rsidR="00A83CD2" w:rsidRPr="002C5554" w:rsidRDefault="00E15939" w:rsidP="00A83CD2">
      <w:pPr>
        <w:pStyle w:val="N10"/>
        <w:ind w:left="0" w:firstLine="0"/>
        <w:rPr>
          <w:rFonts w:cs="Times New Roman"/>
          <w:sz w:val="24"/>
          <w:szCs w:val="24"/>
        </w:rPr>
      </w:pPr>
      <w:bookmarkStart w:id="9" w:name="_Toc256000005"/>
      <w:r>
        <w:rPr>
          <w:rFonts w:cs="Times New Roman"/>
          <w:sz w:val="24"/>
          <w:szCs w:val="24"/>
          <w:lang w:val="en"/>
        </w:rPr>
        <w:lastRenderedPageBreak/>
        <w:t>7. Bank's credit risk management</w:t>
      </w:r>
      <w:bookmarkEnd w:id="9"/>
    </w:p>
    <w:p w14:paraId="45CA11C0" w14:textId="77777777" w:rsidR="004D7169" w:rsidRPr="002C5554" w:rsidRDefault="004D7169" w:rsidP="004D7169">
      <w:pPr>
        <w:tabs>
          <w:tab w:val="left" w:pos="993"/>
        </w:tabs>
        <w:spacing w:line="276" w:lineRule="auto"/>
        <w:jc w:val="both"/>
        <w:rPr>
          <w:lang w:val="en-US"/>
        </w:rPr>
      </w:pPr>
    </w:p>
    <w:p w14:paraId="7417C6BE" w14:textId="77777777" w:rsidR="00DE079A" w:rsidRPr="002C5554" w:rsidRDefault="00E15939" w:rsidP="00DE079A">
      <w:pPr>
        <w:pStyle w:val="pj"/>
        <w:ind w:firstLine="567"/>
        <w:rPr>
          <w:color w:val="auto"/>
          <w:lang w:val="en-US"/>
        </w:rPr>
      </w:pPr>
      <w:r w:rsidRPr="007624A8">
        <w:rPr>
          <w:color w:val="auto"/>
          <w:lang w:val="en"/>
        </w:rPr>
        <w:t>In the process of credit risk management, the Bank is guided by the principles of integrated risk management, which also covers credit risk management.</w:t>
      </w:r>
    </w:p>
    <w:p w14:paraId="4F30589D" w14:textId="77777777" w:rsidR="00DE079A" w:rsidRPr="002C5554" w:rsidRDefault="00E15939" w:rsidP="00DE079A">
      <w:pPr>
        <w:ind w:firstLine="567"/>
        <w:jc w:val="both"/>
        <w:rPr>
          <w:rFonts w:eastAsiaTheme="minorHAnsi"/>
          <w:lang w:val="en-US"/>
        </w:rPr>
      </w:pPr>
      <w:r w:rsidRPr="007624A8">
        <w:rPr>
          <w:rFonts w:eastAsiaTheme="minorHAnsi"/>
          <w:lang w:val="en"/>
        </w:rPr>
        <w:t>The main stages of credit risk management (identification, assessment, regulation, monitoring and control) are regulated by internal documents, in particular, the Methodology of Credit Risk Management.</w:t>
      </w:r>
    </w:p>
    <w:p w14:paraId="0CC466F7" w14:textId="77777777" w:rsidR="00DE079A" w:rsidRPr="002C5554" w:rsidRDefault="00E15939" w:rsidP="00DE079A">
      <w:pPr>
        <w:ind w:firstLine="567"/>
        <w:jc w:val="both"/>
        <w:rPr>
          <w:rFonts w:eastAsiaTheme="minorHAnsi"/>
          <w:lang w:val="en-US"/>
        </w:rPr>
      </w:pPr>
      <w:r w:rsidRPr="007624A8">
        <w:rPr>
          <w:rFonts w:eastAsiaTheme="minorHAnsi"/>
          <w:lang w:val="en"/>
        </w:rPr>
        <w:t>Identification of credit risk is the process of identifying current balance sheet and off–balance sheet requirements that are sensitive to changes in credit factors, as well as future operations planned by the Bank that are subject to credit risk.</w:t>
      </w:r>
    </w:p>
    <w:p w14:paraId="65AEC2BB" w14:textId="77777777" w:rsidR="00DE079A" w:rsidRPr="002C5554" w:rsidRDefault="00E15939" w:rsidP="00DE079A">
      <w:pPr>
        <w:ind w:firstLine="567"/>
        <w:jc w:val="both"/>
        <w:rPr>
          <w:rFonts w:eastAsiaTheme="minorHAnsi"/>
          <w:lang w:val="en-US"/>
        </w:rPr>
      </w:pPr>
      <w:r w:rsidRPr="007624A8">
        <w:rPr>
          <w:rFonts w:eastAsiaTheme="minorHAnsi"/>
          <w:lang w:val="en"/>
        </w:rPr>
        <w:t>At the stage of identification (recognition) of credit risk, the factors of credit risk are identified:</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7491"/>
      </w:tblGrid>
      <w:tr w:rsidR="00742452" w14:paraId="768126F1" w14:textId="77777777" w:rsidTr="00C657A9">
        <w:tc>
          <w:tcPr>
            <w:tcW w:w="2007" w:type="dxa"/>
          </w:tcPr>
          <w:p w14:paraId="7C717831" w14:textId="77777777" w:rsidR="00DE079A" w:rsidRPr="007624A8" w:rsidRDefault="00E15939" w:rsidP="00C657A9">
            <w:pPr>
              <w:pStyle w:val="aa"/>
              <w:ind w:left="0"/>
              <w:jc w:val="center"/>
              <w:rPr>
                <w:rStyle w:val="s0"/>
                <w:b/>
                <w:color w:val="auto"/>
              </w:rPr>
            </w:pPr>
            <w:r w:rsidRPr="007624A8">
              <w:rPr>
                <w:rStyle w:val="s0"/>
                <w:b/>
                <w:color w:val="auto"/>
                <w:lang w:val="en"/>
              </w:rPr>
              <w:t>Type of credit risk</w:t>
            </w:r>
          </w:p>
        </w:tc>
        <w:tc>
          <w:tcPr>
            <w:tcW w:w="7491" w:type="dxa"/>
          </w:tcPr>
          <w:p w14:paraId="281CDE19" w14:textId="77777777" w:rsidR="00DE079A" w:rsidRPr="007624A8" w:rsidRDefault="00E15939" w:rsidP="004955E6">
            <w:pPr>
              <w:pStyle w:val="aa"/>
              <w:tabs>
                <w:tab w:val="left" w:pos="851"/>
                <w:tab w:val="left" w:pos="993"/>
              </w:tabs>
              <w:ind w:left="0"/>
              <w:jc w:val="center"/>
              <w:rPr>
                <w:rStyle w:val="s0"/>
                <w:b/>
                <w:color w:val="auto"/>
              </w:rPr>
            </w:pPr>
            <w:r w:rsidRPr="007624A8">
              <w:rPr>
                <w:rStyle w:val="s0"/>
                <w:b/>
                <w:color w:val="auto"/>
                <w:lang w:val="en"/>
              </w:rPr>
              <w:t>Credit risk factors</w:t>
            </w:r>
          </w:p>
        </w:tc>
      </w:tr>
      <w:tr w:rsidR="00742452" w:rsidRPr="00D25369" w14:paraId="6FFC35E7" w14:textId="77777777" w:rsidTr="00C657A9">
        <w:tc>
          <w:tcPr>
            <w:tcW w:w="2007" w:type="dxa"/>
          </w:tcPr>
          <w:p w14:paraId="53BFDECA" w14:textId="77777777" w:rsidR="00DE079A" w:rsidRPr="007624A8" w:rsidRDefault="00E15939" w:rsidP="00C657A9">
            <w:pPr>
              <w:pStyle w:val="aa"/>
              <w:ind w:left="0"/>
              <w:jc w:val="both"/>
              <w:rPr>
                <w:rStyle w:val="s0"/>
                <w:color w:val="auto"/>
              </w:rPr>
            </w:pPr>
            <w:r w:rsidRPr="007624A8">
              <w:rPr>
                <w:rStyle w:val="s0"/>
                <w:color w:val="auto"/>
                <w:lang w:val="en"/>
              </w:rPr>
              <w:t>Individual credit risk</w:t>
            </w:r>
          </w:p>
        </w:tc>
        <w:tc>
          <w:tcPr>
            <w:tcW w:w="7491" w:type="dxa"/>
          </w:tcPr>
          <w:p w14:paraId="02D2D350" w14:textId="77777777" w:rsidR="00DE079A" w:rsidRPr="002C5554" w:rsidRDefault="00E15939" w:rsidP="004955E6">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lang w:val="en-US"/>
              </w:rPr>
            </w:pPr>
            <w:r w:rsidRPr="007624A8">
              <w:rPr>
                <w:rFonts w:ascii="Times New Roman" w:hAnsi="Times New Roman" w:cs="Times New Roman"/>
                <w:sz w:val="24"/>
                <w:szCs w:val="24"/>
                <w:shd w:val="clear" w:color="auto" w:fill="FFFFFF"/>
                <w:lang w:val="en"/>
              </w:rPr>
              <w:t>Borrower's inability to generate adequate cash flow (borrower's refusal to fulfill loan obligations due to lack of opportunity as a result of deteriorating financial situation);</w:t>
            </w:r>
          </w:p>
          <w:p w14:paraId="6D015510" w14:textId="77777777" w:rsidR="00DE079A" w:rsidRPr="002C5554" w:rsidRDefault="00E15939" w:rsidP="004955E6">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lang w:val="en-US"/>
              </w:rPr>
            </w:pPr>
            <w:r w:rsidRPr="007624A8">
              <w:rPr>
                <w:rFonts w:ascii="Times New Roman" w:hAnsi="Times New Roman" w:cs="Times New Roman"/>
                <w:sz w:val="24"/>
                <w:szCs w:val="24"/>
                <w:shd w:val="clear" w:color="auto" w:fill="FFFFFF"/>
                <w:lang w:val="en"/>
              </w:rPr>
              <w:t>Moral and ethical characteristics of the borrower, fraud (borrower's refusal to fulfill loan obligations due to bad faith);</w:t>
            </w:r>
          </w:p>
          <w:p w14:paraId="67293F13" w14:textId="77777777" w:rsidR="00DE079A" w:rsidRPr="002C5554" w:rsidRDefault="00E15939" w:rsidP="004955E6">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lang w:val="en-US"/>
              </w:rPr>
            </w:pPr>
            <w:r w:rsidRPr="007624A8">
              <w:rPr>
                <w:rFonts w:ascii="Times New Roman" w:hAnsi="Times New Roman" w:cs="Times New Roman"/>
                <w:sz w:val="24"/>
                <w:szCs w:val="24"/>
                <w:shd w:val="clear" w:color="auto" w:fill="FFFFFF"/>
                <w:lang w:val="en"/>
              </w:rPr>
              <w:t>The quality of determining the borrower's creditworthiness/solvency;</w:t>
            </w:r>
          </w:p>
          <w:p w14:paraId="34659AD6" w14:textId="77777777" w:rsidR="00DE079A" w:rsidRPr="007624A8" w:rsidRDefault="00E15939" w:rsidP="004955E6">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lang w:val="en"/>
              </w:rPr>
              <w:t>Collateral liquidity risk reduction;</w:t>
            </w:r>
          </w:p>
          <w:p w14:paraId="38F1E2E7" w14:textId="77777777" w:rsidR="00DE079A" w:rsidRPr="002C5554" w:rsidRDefault="00E15939" w:rsidP="004955E6">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lang w:val="en-US"/>
              </w:rPr>
            </w:pPr>
            <w:r w:rsidRPr="007624A8">
              <w:rPr>
                <w:rFonts w:ascii="Times New Roman" w:hAnsi="Times New Roman" w:cs="Times New Roman"/>
                <w:sz w:val="24"/>
                <w:szCs w:val="24"/>
                <w:shd w:val="clear" w:color="auto" w:fill="FFFFFF"/>
                <w:lang w:val="en"/>
              </w:rPr>
              <w:t>Staff errors caused by deviations from job descriptions during credit transactions;</w:t>
            </w:r>
          </w:p>
          <w:p w14:paraId="329A859F" w14:textId="77777777" w:rsidR="00DE079A" w:rsidRPr="007624A8" w:rsidRDefault="00E15939" w:rsidP="004955E6">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lang w:val="en"/>
              </w:rPr>
              <w:t>Staff abuse;</w:t>
            </w:r>
          </w:p>
          <w:p w14:paraId="6D04E619" w14:textId="77777777" w:rsidR="00DE079A" w:rsidRPr="002C5554" w:rsidRDefault="00E15939" w:rsidP="004955E6">
            <w:pPr>
              <w:pStyle w:val="aa"/>
              <w:numPr>
                <w:ilvl w:val="0"/>
                <w:numId w:val="27"/>
              </w:numPr>
              <w:tabs>
                <w:tab w:val="left" w:pos="317"/>
              </w:tabs>
              <w:spacing w:line="240" w:lineRule="auto"/>
              <w:ind w:left="0" w:firstLine="0"/>
              <w:jc w:val="both"/>
              <w:rPr>
                <w:rStyle w:val="s0"/>
                <w:color w:val="auto"/>
                <w:lang w:val="en-US"/>
              </w:rPr>
            </w:pPr>
            <w:r w:rsidRPr="007624A8">
              <w:rPr>
                <w:rFonts w:ascii="Times New Roman" w:hAnsi="Times New Roman" w:cs="Times New Roman"/>
                <w:sz w:val="24"/>
                <w:szCs w:val="24"/>
                <w:shd w:val="clear" w:color="auto" w:fill="FFFFFF"/>
                <w:lang w:val="en"/>
              </w:rPr>
              <w:t>Methodological errors contained in the Bank's IRs.</w:t>
            </w:r>
          </w:p>
        </w:tc>
      </w:tr>
      <w:tr w:rsidR="00742452" w:rsidRPr="00D25369" w14:paraId="309ABA5A" w14:textId="77777777" w:rsidTr="00C657A9">
        <w:tc>
          <w:tcPr>
            <w:tcW w:w="2007" w:type="dxa"/>
          </w:tcPr>
          <w:p w14:paraId="39ACE39E" w14:textId="77777777" w:rsidR="00DE079A" w:rsidRPr="007624A8" w:rsidRDefault="00E15939" w:rsidP="004955E6">
            <w:pPr>
              <w:pStyle w:val="aa"/>
              <w:tabs>
                <w:tab w:val="left" w:pos="851"/>
                <w:tab w:val="left" w:pos="993"/>
              </w:tabs>
              <w:ind w:left="0"/>
              <w:jc w:val="both"/>
              <w:rPr>
                <w:rStyle w:val="s0"/>
                <w:color w:val="auto"/>
              </w:rPr>
            </w:pPr>
            <w:r w:rsidRPr="007624A8">
              <w:rPr>
                <w:rStyle w:val="s0"/>
                <w:color w:val="auto"/>
                <w:lang w:val="en"/>
              </w:rPr>
              <w:t>Total credit risk</w:t>
            </w:r>
          </w:p>
        </w:tc>
        <w:tc>
          <w:tcPr>
            <w:tcW w:w="7491" w:type="dxa"/>
          </w:tcPr>
          <w:p w14:paraId="38A4F240" w14:textId="77777777" w:rsidR="00DE079A" w:rsidRPr="002C5554" w:rsidRDefault="00E15939" w:rsidP="004955E6">
            <w:pPr>
              <w:pStyle w:val="aa"/>
              <w:tabs>
                <w:tab w:val="left" w:pos="851"/>
                <w:tab w:val="left" w:pos="993"/>
              </w:tabs>
              <w:ind w:left="0"/>
              <w:jc w:val="both"/>
              <w:rPr>
                <w:rStyle w:val="s0"/>
                <w:color w:val="auto"/>
                <w:lang w:val="en-US"/>
              </w:rPr>
            </w:pPr>
            <w:r w:rsidRPr="007624A8">
              <w:rPr>
                <w:rStyle w:val="s0"/>
                <w:color w:val="auto"/>
                <w:lang w:val="en"/>
              </w:rPr>
              <w:t>- Excessive concentration or excessive diversification of the loan portfolio;</w:t>
            </w:r>
          </w:p>
          <w:p w14:paraId="2AEE5087" w14:textId="77777777" w:rsidR="00DE079A" w:rsidRPr="002C5554" w:rsidRDefault="00E15939" w:rsidP="004955E6">
            <w:pPr>
              <w:pStyle w:val="aa"/>
              <w:tabs>
                <w:tab w:val="left" w:pos="851"/>
                <w:tab w:val="left" w:pos="993"/>
              </w:tabs>
              <w:ind w:left="0"/>
              <w:jc w:val="both"/>
              <w:rPr>
                <w:rFonts w:ascii="Times New Roman" w:hAnsi="Times New Roman" w:cs="Times New Roman"/>
                <w:sz w:val="24"/>
                <w:szCs w:val="24"/>
                <w:shd w:val="clear" w:color="auto" w:fill="FFFFFF"/>
                <w:lang w:val="en-US"/>
              </w:rPr>
            </w:pPr>
            <w:r w:rsidRPr="007624A8">
              <w:rPr>
                <w:rStyle w:val="s0"/>
                <w:color w:val="auto"/>
                <w:lang w:val="en"/>
              </w:rPr>
              <w:t>- Achievement of the value of the provision level indicator above the planned level due to non-fulfillment by borrowers of their obligations;</w:t>
            </w:r>
          </w:p>
          <w:p w14:paraId="13940544" w14:textId="77777777" w:rsidR="00DE079A" w:rsidRPr="002C5554" w:rsidRDefault="00E15939" w:rsidP="004955E6">
            <w:pPr>
              <w:pStyle w:val="aa"/>
              <w:tabs>
                <w:tab w:val="left" w:pos="851"/>
                <w:tab w:val="left" w:pos="993"/>
              </w:tabs>
              <w:ind w:left="0"/>
              <w:jc w:val="both"/>
              <w:rPr>
                <w:rStyle w:val="s0"/>
                <w:color w:val="auto"/>
                <w:lang w:val="en-US"/>
              </w:rPr>
            </w:pPr>
            <w:r w:rsidRPr="007624A8">
              <w:rPr>
                <w:rFonts w:ascii="Times New Roman" w:hAnsi="Times New Roman" w:cs="Times New Roman"/>
                <w:sz w:val="24"/>
                <w:szCs w:val="24"/>
                <w:shd w:val="clear" w:color="auto" w:fill="FFFFFF"/>
                <w:lang w:val="en"/>
              </w:rPr>
              <w:t>- Qualification level of the Bank's staff.</w:t>
            </w:r>
          </w:p>
        </w:tc>
      </w:tr>
    </w:tbl>
    <w:p w14:paraId="3AEBCE76" w14:textId="77777777" w:rsidR="000A1472" w:rsidRPr="007624A8" w:rsidRDefault="000A1472" w:rsidP="000A1472">
      <w:pPr>
        <w:pStyle w:val="aff0"/>
        <w:tabs>
          <w:tab w:val="left" w:pos="431"/>
          <w:tab w:val="left" w:pos="709"/>
          <w:tab w:val="left" w:pos="993"/>
        </w:tabs>
        <w:spacing w:after="0"/>
        <w:ind w:left="709"/>
        <w:jc w:val="both"/>
      </w:pPr>
    </w:p>
    <w:p w14:paraId="035C4E73" w14:textId="77777777" w:rsidR="000A1472" w:rsidRPr="002C5554" w:rsidRDefault="00E15939" w:rsidP="000A1472">
      <w:pPr>
        <w:ind w:firstLine="567"/>
        <w:jc w:val="both"/>
        <w:rPr>
          <w:shd w:val="clear" w:color="auto" w:fill="FFFFFF"/>
          <w:lang w:val="en-US"/>
        </w:rPr>
      </w:pPr>
      <w:r w:rsidRPr="007624A8">
        <w:rPr>
          <w:shd w:val="clear" w:color="auto" w:fill="FFFFFF"/>
          <w:lang w:val="en"/>
        </w:rPr>
        <w:t>The following methods are used to assess individual credit risk:</w:t>
      </w:r>
    </w:p>
    <w:p w14:paraId="073A537E" w14:textId="77777777" w:rsidR="000A1472" w:rsidRPr="007624A8" w:rsidRDefault="00E15939" w:rsidP="000A1472">
      <w:pPr>
        <w:pStyle w:val="af"/>
        <w:numPr>
          <w:ilvl w:val="1"/>
          <w:numId w:val="28"/>
        </w:numPr>
        <w:tabs>
          <w:tab w:val="clear" w:pos="2120"/>
          <w:tab w:val="left" w:pos="993"/>
        </w:tabs>
        <w:spacing w:before="0" w:beforeAutospacing="0" w:after="0" w:afterAutospacing="0" w:line="255" w:lineRule="atLeast"/>
        <w:ind w:left="0" w:firstLine="709"/>
        <w:jc w:val="both"/>
      </w:pPr>
      <w:r w:rsidRPr="007624A8">
        <w:rPr>
          <w:lang w:val="en"/>
        </w:rPr>
        <w:t>underwriting a loan application;</w:t>
      </w:r>
    </w:p>
    <w:p w14:paraId="63A1C7B6" w14:textId="77777777" w:rsidR="000A1472" w:rsidRPr="007624A8" w:rsidRDefault="00E15939" w:rsidP="000A1472">
      <w:pPr>
        <w:pStyle w:val="af"/>
        <w:numPr>
          <w:ilvl w:val="1"/>
          <w:numId w:val="28"/>
        </w:numPr>
        <w:tabs>
          <w:tab w:val="clear" w:pos="2120"/>
          <w:tab w:val="left" w:pos="993"/>
        </w:tabs>
        <w:spacing w:before="0" w:beforeAutospacing="0" w:after="0" w:afterAutospacing="0" w:line="255" w:lineRule="atLeast"/>
        <w:ind w:left="0" w:firstLine="709"/>
        <w:jc w:val="both"/>
      </w:pPr>
      <w:r w:rsidRPr="007624A8">
        <w:rPr>
          <w:lang w:val="en"/>
        </w:rPr>
        <w:t>credit scoring.</w:t>
      </w:r>
    </w:p>
    <w:p w14:paraId="50778122" w14:textId="77777777" w:rsidR="000A1472" w:rsidRPr="002C5554" w:rsidRDefault="00E15939" w:rsidP="000A1472">
      <w:pPr>
        <w:ind w:firstLine="567"/>
        <w:jc w:val="both"/>
        <w:rPr>
          <w:shd w:val="clear" w:color="auto" w:fill="FFFFFF"/>
          <w:lang w:val="en-US"/>
        </w:rPr>
      </w:pPr>
      <w:r w:rsidRPr="007624A8">
        <w:rPr>
          <w:shd w:val="clear" w:color="auto" w:fill="FFFFFF"/>
          <w:lang w:val="en"/>
        </w:rPr>
        <w:t>The procedures for ranking loans by the level of credit risk include:</w:t>
      </w:r>
    </w:p>
    <w:p w14:paraId="13A1E466" w14:textId="77777777" w:rsidR="000A1472" w:rsidRPr="002C5554" w:rsidRDefault="00E15939" w:rsidP="000A1472">
      <w:pPr>
        <w:widowControl w:val="0"/>
        <w:shd w:val="clear" w:color="auto" w:fill="FFFFFF"/>
        <w:tabs>
          <w:tab w:val="left" w:pos="1134"/>
        </w:tabs>
        <w:ind w:firstLine="709"/>
        <w:contextualSpacing/>
        <w:jc w:val="both"/>
        <w:rPr>
          <w:lang w:val="en-US"/>
        </w:rPr>
      </w:pPr>
      <w:r w:rsidRPr="007624A8">
        <w:rPr>
          <w:lang w:val="en"/>
        </w:rPr>
        <w:t>1) assessment of the risk of the borrower's solvency to the Bank on the requested terms;</w:t>
      </w:r>
    </w:p>
    <w:p w14:paraId="44C3D7E0" w14:textId="77777777" w:rsidR="000A1472" w:rsidRPr="002C5554" w:rsidRDefault="00E15939" w:rsidP="000A1472">
      <w:pPr>
        <w:widowControl w:val="0"/>
        <w:shd w:val="clear" w:color="auto" w:fill="FFFFFF"/>
        <w:tabs>
          <w:tab w:val="left" w:pos="737"/>
        </w:tabs>
        <w:ind w:firstLine="709"/>
        <w:contextualSpacing/>
        <w:jc w:val="both"/>
        <w:rPr>
          <w:lang w:val="en-US"/>
        </w:rPr>
      </w:pPr>
      <w:r w:rsidRPr="007624A8">
        <w:rPr>
          <w:lang w:val="en"/>
        </w:rPr>
        <w:t>2) assessment of the risk of reducing the borrower's solvency (revealed by analyzing data on the borrower's income and expenses and based on existing cash flows);</w:t>
      </w:r>
    </w:p>
    <w:p w14:paraId="283D7668" w14:textId="77777777" w:rsidR="000A1472" w:rsidRPr="002C5554" w:rsidRDefault="00E15939" w:rsidP="000A1472">
      <w:pPr>
        <w:widowControl w:val="0"/>
        <w:shd w:val="clear" w:color="auto" w:fill="FFFFFF"/>
        <w:tabs>
          <w:tab w:val="left" w:pos="1134"/>
        </w:tabs>
        <w:ind w:firstLine="709"/>
        <w:contextualSpacing/>
        <w:jc w:val="both"/>
        <w:rPr>
          <w:lang w:val="en-US"/>
        </w:rPr>
      </w:pPr>
      <w:r w:rsidRPr="007624A8">
        <w:rPr>
          <w:lang w:val="en"/>
        </w:rPr>
        <w:t>3) assessment of the risk of excessive concentration of borrowed funds from the client;</w:t>
      </w:r>
    </w:p>
    <w:p w14:paraId="58F438F0" w14:textId="77777777" w:rsidR="000A1472" w:rsidRPr="002C5554" w:rsidRDefault="00E15939" w:rsidP="000A1472">
      <w:pPr>
        <w:widowControl w:val="0"/>
        <w:shd w:val="clear" w:color="auto" w:fill="FFFFFF"/>
        <w:tabs>
          <w:tab w:val="left" w:pos="1134"/>
        </w:tabs>
        <w:ind w:firstLine="709"/>
        <w:contextualSpacing/>
        <w:jc w:val="both"/>
        <w:rPr>
          <w:lang w:val="en-US"/>
        </w:rPr>
      </w:pPr>
      <w:r w:rsidRPr="007624A8">
        <w:rPr>
          <w:lang w:val="en"/>
        </w:rPr>
        <w:t>4) having a negative credit history;</w:t>
      </w:r>
    </w:p>
    <w:p w14:paraId="2C394221" w14:textId="77777777" w:rsidR="000A1472" w:rsidRPr="002C5554" w:rsidRDefault="00E15939" w:rsidP="000A1472">
      <w:pPr>
        <w:widowControl w:val="0"/>
        <w:shd w:val="clear" w:color="auto" w:fill="FFFFFF"/>
        <w:tabs>
          <w:tab w:val="left" w:pos="1134"/>
        </w:tabs>
        <w:ind w:firstLine="709"/>
        <w:contextualSpacing/>
        <w:jc w:val="both"/>
        <w:rPr>
          <w:lang w:val="en-US"/>
        </w:rPr>
      </w:pPr>
      <w:r w:rsidRPr="007624A8">
        <w:rPr>
          <w:lang w:val="en"/>
        </w:rPr>
        <w:t>5) determination of a preliminary assessment of loan impairment in accordance with the Bank's internal documents;</w:t>
      </w:r>
    </w:p>
    <w:p w14:paraId="2BAAB7E4" w14:textId="77777777" w:rsidR="000A1472" w:rsidRPr="002C5554" w:rsidRDefault="00E15939" w:rsidP="000A1472">
      <w:pPr>
        <w:widowControl w:val="0"/>
        <w:shd w:val="clear" w:color="auto" w:fill="FFFFFF"/>
        <w:tabs>
          <w:tab w:val="left" w:pos="1134"/>
        </w:tabs>
        <w:ind w:firstLine="709"/>
        <w:contextualSpacing/>
        <w:jc w:val="both"/>
        <w:rPr>
          <w:lang w:val="en-US"/>
        </w:rPr>
      </w:pPr>
      <w:r w:rsidRPr="007624A8">
        <w:rPr>
          <w:lang w:val="en"/>
        </w:rPr>
        <w:t>7) compliance of the proposed collateral with the Bank's requirements;</w:t>
      </w:r>
    </w:p>
    <w:p w14:paraId="4F5D7FBE" w14:textId="77777777" w:rsidR="000A1472" w:rsidRPr="002C5554" w:rsidRDefault="00E15939" w:rsidP="000A1472">
      <w:pPr>
        <w:widowControl w:val="0"/>
        <w:shd w:val="clear" w:color="auto" w:fill="FFFFFF"/>
        <w:tabs>
          <w:tab w:val="left" w:pos="1134"/>
        </w:tabs>
        <w:ind w:firstLine="709"/>
        <w:contextualSpacing/>
        <w:jc w:val="both"/>
        <w:rPr>
          <w:lang w:val="en-US"/>
        </w:rPr>
      </w:pPr>
      <w:r w:rsidRPr="007624A8">
        <w:rPr>
          <w:lang w:val="en"/>
        </w:rPr>
        <w:t>8) assessment of the risk of a decrease in the value of collateral as a result of revaluation;</w:t>
      </w:r>
    </w:p>
    <w:p w14:paraId="50FA74AA" w14:textId="77777777" w:rsidR="000A1472" w:rsidRPr="002C5554" w:rsidRDefault="00E15939" w:rsidP="000A1472">
      <w:pPr>
        <w:widowControl w:val="0"/>
        <w:shd w:val="clear" w:color="auto" w:fill="FFFFFF"/>
        <w:tabs>
          <w:tab w:val="left" w:pos="1134"/>
        </w:tabs>
        <w:ind w:firstLine="709"/>
        <w:contextualSpacing/>
        <w:jc w:val="both"/>
        <w:rPr>
          <w:lang w:val="en-US"/>
        </w:rPr>
      </w:pPr>
      <w:r w:rsidRPr="007624A8">
        <w:rPr>
          <w:lang w:val="en"/>
        </w:rPr>
        <w:t>9) assessment of the risk of adequacy of the collateral assessment performed by the valuation company to market data;</w:t>
      </w:r>
    </w:p>
    <w:p w14:paraId="335A7307" w14:textId="77777777" w:rsidR="000A1472" w:rsidRPr="002C5554" w:rsidRDefault="00E15939" w:rsidP="000A1472">
      <w:pPr>
        <w:widowControl w:val="0"/>
        <w:shd w:val="clear" w:color="auto" w:fill="FFFFFF"/>
        <w:tabs>
          <w:tab w:val="left" w:pos="1134"/>
        </w:tabs>
        <w:ind w:firstLine="709"/>
        <w:contextualSpacing/>
        <w:jc w:val="both"/>
        <w:rPr>
          <w:lang w:val="en-US"/>
        </w:rPr>
      </w:pPr>
      <w:r w:rsidRPr="007624A8">
        <w:rPr>
          <w:lang w:val="en"/>
        </w:rPr>
        <w:t>10) assessment of the risk of non-compliance with title documents;</w:t>
      </w:r>
    </w:p>
    <w:p w14:paraId="2FFBA225" w14:textId="77777777" w:rsidR="000A1472" w:rsidRPr="002C5554" w:rsidRDefault="00E15939" w:rsidP="000A1472">
      <w:pPr>
        <w:widowControl w:val="0"/>
        <w:shd w:val="clear" w:color="auto" w:fill="FFFFFF"/>
        <w:tabs>
          <w:tab w:val="left" w:pos="1134"/>
        </w:tabs>
        <w:ind w:firstLine="709"/>
        <w:contextualSpacing/>
        <w:jc w:val="both"/>
        <w:rPr>
          <w:lang w:val="en-US"/>
        </w:rPr>
      </w:pPr>
      <w:r w:rsidRPr="007624A8">
        <w:rPr>
          <w:lang w:val="en"/>
        </w:rPr>
        <w:t xml:space="preserve">11) assessment of the risks of the implementation of the submitted collateral. </w:t>
      </w:r>
    </w:p>
    <w:p w14:paraId="63882DAC" w14:textId="77777777" w:rsidR="000A1472" w:rsidRPr="002C5554" w:rsidRDefault="00E15939" w:rsidP="000A1472">
      <w:pPr>
        <w:ind w:firstLine="567"/>
        <w:jc w:val="both"/>
        <w:rPr>
          <w:shd w:val="clear" w:color="auto" w:fill="FFFFFF"/>
          <w:lang w:val="en-US"/>
        </w:rPr>
      </w:pPr>
      <w:r w:rsidRPr="007624A8">
        <w:rPr>
          <w:shd w:val="clear" w:color="auto" w:fill="FFFFFF"/>
          <w:lang w:val="en"/>
        </w:rPr>
        <w:t xml:space="preserve">The assessment of the individual credit risk of potential borrowers is determined at the time of consideration of the loan application based on the results of credit scoring and underwriting: </w:t>
      </w:r>
    </w:p>
    <w:p w14:paraId="7A4CFD37" w14:textId="77777777" w:rsidR="000A1472" w:rsidRPr="002C5554" w:rsidRDefault="00E15939" w:rsidP="000A1472">
      <w:pPr>
        <w:ind w:firstLine="567"/>
        <w:jc w:val="both"/>
        <w:rPr>
          <w:shd w:val="clear" w:color="auto" w:fill="FFFFFF"/>
          <w:lang w:val="en-US"/>
        </w:rPr>
      </w:pPr>
      <w:r w:rsidRPr="007624A8">
        <w:rPr>
          <w:shd w:val="clear" w:color="auto" w:fill="FFFFFF"/>
          <w:lang w:val="en"/>
        </w:rPr>
        <w:t xml:space="preserve">The underwriting of a loan application includes an analysis of the Applicant's creditworthiness, an analysis of his solvency, an analysis of collateral, an analysis of the </w:t>
      </w:r>
      <w:r w:rsidRPr="007624A8">
        <w:rPr>
          <w:shd w:val="clear" w:color="auto" w:fill="FFFFFF"/>
          <w:lang w:val="en"/>
        </w:rPr>
        <w:lastRenderedPageBreak/>
        <w:t>application's compliance with approved loan terms and procedures, and is carried out by a risk manager in accordance with the functions defined by the job description of the risk manager and the Bank's IRs, which regulate the procedure for granting loans and decision-making.</w:t>
      </w:r>
    </w:p>
    <w:p w14:paraId="769B3019" w14:textId="77777777" w:rsidR="000A1472" w:rsidRPr="002C5554" w:rsidRDefault="00E15939" w:rsidP="000A1472">
      <w:pPr>
        <w:ind w:firstLine="567"/>
        <w:jc w:val="both"/>
        <w:rPr>
          <w:shd w:val="clear" w:color="auto" w:fill="FFFFFF"/>
          <w:lang w:val="en-US"/>
        </w:rPr>
      </w:pPr>
      <w:r w:rsidRPr="007624A8">
        <w:rPr>
          <w:shd w:val="clear" w:color="auto" w:fill="FFFFFF"/>
          <w:lang w:val="en"/>
        </w:rPr>
        <w:t>Credit scoring is used to reduce credit and operational risks and improve customer diversification in the loan portfolio. When carrying out lending activities, the Bank uses a decision-making system using scoring cards based on quantitative and qualitative data. The basic credit rules and the logic of decision-making on loan applications, regulated by the relevant internal documents of the Bank, are embedded in the IS "Decision-making system"</w:t>
      </w:r>
    </w:p>
    <w:p w14:paraId="3A911882" w14:textId="77777777" w:rsidR="000A1472" w:rsidRPr="002C5554" w:rsidRDefault="00E15939" w:rsidP="000A1472">
      <w:pPr>
        <w:ind w:firstLine="567"/>
        <w:jc w:val="both"/>
        <w:rPr>
          <w:shd w:val="clear" w:color="auto" w:fill="FFFFFF"/>
          <w:lang w:val="en-US"/>
        </w:rPr>
      </w:pPr>
      <w:r w:rsidRPr="007624A8">
        <w:rPr>
          <w:shd w:val="clear" w:color="auto" w:fill="FFFFFF"/>
          <w:lang w:val="en"/>
        </w:rPr>
        <w:t>When assigning a scoring point to a borrower, the Bank is guided by up-to-date available information (information from the Credit Bureau, income information, etc.) about factors (positive credit history, permanent income, etc.) that affect the borrower's future creditworthiness and solvency.</w:t>
      </w:r>
    </w:p>
    <w:p w14:paraId="6B65FC94" w14:textId="77777777" w:rsidR="000A1472" w:rsidRPr="002C5554" w:rsidRDefault="00E15939" w:rsidP="000A1472">
      <w:pPr>
        <w:ind w:firstLine="567"/>
        <w:jc w:val="both"/>
        <w:rPr>
          <w:shd w:val="clear" w:color="auto" w:fill="FFFFFF"/>
          <w:lang w:val="en-US"/>
        </w:rPr>
      </w:pPr>
      <w:r w:rsidRPr="007624A8">
        <w:rPr>
          <w:shd w:val="clear" w:color="auto" w:fill="FFFFFF"/>
          <w:lang w:val="en"/>
        </w:rPr>
        <w:t>To assess the total credit risk, the following methods are used:</w:t>
      </w:r>
    </w:p>
    <w:p w14:paraId="4297B34D" w14:textId="77777777" w:rsidR="000A1472" w:rsidRPr="002C5554" w:rsidRDefault="00E15939" w:rsidP="00317F4A">
      <w:pPr>
        <w:pStyle w:val="aa"/>
        <w:numPr>
          <w:ilvl w:val="1"/>
          <w:numId w:val="28"/>
        </w:numPr>
        <w:tabs>
          <w:tab w:val="clear" w:pos="2120"/>
          <w:tab w:val="left" w:pos="851"/>
          <w:tab w:val="num" w:pos="1760"/>
        </w:tabs>
        <w:spacing w:line="276" w:lineRule="auto"/>
        <w:ind w:left="0" w:firstLine="567"/>
        <w:jc w:val="both"/>
        <w:rPr>
          <w:rFonts w:ascii="Times New Roman" w:hAnsi="Times New Roman" w:cs="Times New Roman"/>
          <w:bCs/>
          <w:sz w:val="24"/>
          <w:szCs w:val="24"/>
          <w:lang w:val="en-US"/>
        </w:rPr>
      </w:pPr>
      <w:r w:rsidRPr="007624A8">
        <w:rPr>
          <w:rFonts w:ascii="Times New Roman" w:hAnsi="Times New Roman" w:cs="Times New Roman"/>
          <w:sz w:val="24"/>
          <w:szCs w:val="24"/>
          <w:shd w:val="clear" w:color="auto" w:fill="FFFFFF"/>
          <w:lang w:val="en"/>
        </w:rPr>
        <w:t>Credit Risk Weighted Asset Method (RWA);</w:t>
      </w:r>
    </w:p>
    <w:p w14:paraId="50C65C6D" w14:textId="77777777" w:rsidR="00317F4A" w:rsidRPr="002C5554" w:rsidRDefault="00E15939" w:rsidP="00317F4A">
      <w:pPr>
        <w:pStyle w:val="aa"/>
        <w:numPr>
          <w:ilvl w:val="1"/>
          <w:numId w:val="28"/>
        </w:numPr>
        <w:tabs>
          <w:tab w:val="clear" w:pos="2120"/>
          <w:tab w:val="left" w:pos="851"/>
          <w:tab w:val="num" w:pos="1760"/>
        </w:tabs>
        <w:spacing w:line="276" w:lineRule="auto"/>
        <w:ind w:left="0" w:firstLine="567"/>
        <w:jc w:val="both"/>
        <w:rPr>
          <w:rFonts w:ascii="Times New Roman" w:hAnsi="Times New Roman" w:cs="Times New Roman"/>
          <w:bCs/>
          <w:sz w:val="24"/>
          <w:szCs w:val="24"/>
          <w:lang w:val="en-US"/>
        </w:rPr>
      </w:pPr>
      <w:r w:rsidRPr="007624A8">
        <w:rPr>
          <w:rFonts w:ascii="Times New Roman" w:hAnsi="Times New Roman" w:cs="Times New Roman"/>
          <w:bCs/>
          <w:sz w:val="24"/>
          <w:szCs w:val="24"/>
          <w:lang w:val="en"/>
        </w:rPr>
        <w:t>a method of reducing credit risk by forming provisions (reserves).</w:t>
      </w:r>
    </w:p>
    <w:p w14:paraId="64D49810" w14:textId="77777777" w:rsidR="00DE079A" w:rsidRPr="002C5554" w:rsidRDefault="00E15939" w:rsidP="0037089F">
      <w:pPr>
        <w:ind w:firstLine="567"/>
        <w:jc w:val="both"/>
        <w:rPr>
          <w:shd w:val="clear" w:color="auto" w:fill="FFFFFF"/>
          <w:lang w:val="en-US"/>
        </w:rPr>
      </w:pPr>
      <w:r w:rsidRPr="007624A8">
        <w:rPr>
          <w:shd w:val="clear" w:color="auto" w:fill="FFFFFF"/>
          <w:lang w:val="en"/>
        </w:rPr>
        <w:t>In order to regulate (limit) the level of credit risk, the Bank uses the following tools:</w:t>
      </w:r>
    </w:p>
    <w:p w14:paraId="4ADA8F2E" w14:textId="77777777" w:rsidR="00DE079A" w:rsidRPr="007624A8" w:rsidRDefault="00E15939" w:rsidP="0037089F">
      <w:pPr>
        <w:pStyle w:val="aff0"/>
        <w:numPr>
          <w:ilvl w:val="0"/>
          <w:numId w:val="44"/>
        </w:numPr>
        <w:spacing w:after="0"/>
        <w:ind w:left="993"/>
        <w:jc w:val="both"/>
      </w:pPr>
      <w:r w:rsidRPr="007624A8">
        <w:rPr>
          <w:lang w:val="en"/>
        </w:rPr>
        <w:t>Consideration of risk when setting the remuneration rate;</w:t>
      </w:r>
    </w:p>
    <w:p w14:paraId="3DB3AABB" w14:textId="77777777" w:rsidR="00DE079A" w:rsidRPr="007624A8" w:rsidRDefault="00E15939" w:rsidP="0037089F">
      <w:pPr>
        <w:pStyle w:val="aff0"/>
        <w:numPr>
          <w:ilvl w:val="0"/>
          <w:numId w:val="44"/>
        </w:numPr>
        <w:spacing w:after="0"/>
        <w:ind w:left="993"/>
        <w:jc w:val="both"/>
      </w:pPr>
      <w:r w:rsidRPr="007624A8">
        <w:rPr>
          <w:lang w:val="en"/>
        </w:rPr>
        <w:t>Limitation;</w:t>
      </w:r>
    </w:p>
    <w:p w14:paraId="30A9ABAA" w14:textId="77777777" w:rsidR="00DE079A" w:rsidRPr="0083134F" w:rsidRDefault="00E15939" w:rsidP="0037089F">
      <w:pPr>
        <w:pStyle w:val="aff0"/>
        <w:numPr>
          <w:ilvl w:val="0"/>
          <w:numId w:val="44"/>
        </w:numPr>
        <w:spacing w:after="0"/>
        <w:ind w:left="993"/>
        <w:jc w:val="both"/>
        <w:rPr>
          <w:rStyle w:val="af8"/>
          <w:iCs w:val="0"/>
        </w:rPr>
      </w:pPr>
      <w:r w:rsidRPr="0083134F">
        <w:rPr>
          <w:lang w:val="en"/>
        </w:rPr>
        <w:t>Diversification of total credit risk</w:t>
      </w:r>
      <w:r w:rsidRPr="0083134F">
        <w:rPr>
          <w:rStyle w:val="af8"/>
          <w:iCs w:val="0"/>
          <w:lang w:val="en"/>
        </w:rPr>
        <w:t>;</w:t>
      </w:r>
    </w:p>
    <w:p w14:paraId="782B6987" w14:textId="77777777" w:rsidR="00DE079A" w:rsidRPr="007624A8" w:rsidRDefault="00E15939" w:rsidP="0037089F">
      <w:pPr>
        <w:pStyle w:val="aff0"/>
        <w:numPr>
          <w:ilvl w:val="0"/>
          <w:numId w:val="44"/>
        </w:numPr>
        <w:spacing w:after="0"/>
        <w:ind w:left="993"/>
        <w:jc w:val="both"/>
      </w:pPr>
      <w:r w:rsidRPr="007624A8">
        <w:rPr>
          <w:lang w:val="en"/>
        </w:rPr>
        <w:t>Stress testing.</w:t>
      </w:r>
    </w:p>
    <w:p w14:paraId="347C58E7" w14:textId="77777777" w:rsidR="00317F4A" w:rsidRPr="002C5554" w:rsidRDefault="00E15939" w:rsidP="00317F4A">
      <w:pPr>
        <w:ind w:firstLine="567"/>
        <w:jc w:val="both"/>
        <w:rPr>
          <w:shd w:val="clear" w:color="auto" w:fill="FFFFFF"/>
          <w:lang w:val="en-US"/>
        </w:rPr>
      </w:pPr>
      <w:r w:rsidRPr="007624A8">
        <w:rPr>
          <w:shd w:val="clear" w:color="auto" w:fill="FFFFFF"/>
          <w:lang w:val="en"/>
        </w:rPr>
        <w:t xml:space="preserve">The Bank controls credit risk by setting the following limits, but not limited to: limits on the total obligations of one borrower, on products, on the quality of collateral, the powers of the Credit Committee of the Bank's branches, the powers of the Credit Committee of the Bank's Decision-Making Center, on the volume of loans guaranteed by an individual, and the maximum share of non-performing loans in the loan portfolio. </w:t>
      </w:r>
    </w:p>
    <w:p w14:paraId="216B6F4F" w14:textId="77777777" w:rsidR="00317F4A" w:rsidRPr="002C5554" w:rsidRDefault="00E15939" w:rsidP="00317F4A">
      <w:pPr>
        <w:ind w:firstLine="567"/>
        <w:jc w:val="both"/>
        <w:rPr>
          <w:shd w:val="clear" w:color="auto" w:fill="FFFFFF"/>
          <w:lang w:val="en-US"/>
        </w:rPr>
      </w:pPr>
      <w:r w:rsidRPr="007624A8">
        <w:rPr>
          <w:shd w:val="clear" w:color="auto" w:fill="FFFFFF"/>
          <w:lang w:val="en"/>
        </w:rPr>
        <w:t>The limits, according to internal documents, are approved by the BCC/the Management Board of the Bank/Board of Directors of the Bank and are reviewed at least once a year.</w:t>
      </w:r>
    </w:p>
    <w:p w14:paraId="3199F7ED" w14:textId="77777777" w:rsidR="00F6190F" w:rsidRPr="002C5554" w:rsidRDefault="00E15939" w:rsidP="007624A8">
      <w:pPr>
        <w:ind w:firstLine="567"/>
        <w:jc w:val="both"/>
        <w:rPr>
          <w:shd w:val="clear" w:color="auto" w:fill="FFFFFF"/>
          <w:lang w:val="en-US"/>
        </w:rPr>
      </w:pPr>
      <w:r w:rsidRPr="007624A8">
        <w:rPr>
          <w:shd w:val="clear" w:color="auto" w:fill="FFFFFF"/>
          <w:lang w:val="en"/>
        </w:rPr>
        <w:t>Monitoring of individual credit risk on loans is carried out on the basis of monitoring the loan and the condition of collateral, monitoring the targeted use of borrowed funds.</w:t>
      </w:r>
    </w:p>
    <w:p w14:paraId="7AC90AD9" w14:textId="77777777" w:rsidR="00F6190F" w:rsidRPr="002C5554" w:rsidRDefault="00E15939" w:rsidP="007624A8">
      <w:pPr>
        <w:ind w:firstLine="567"/>
        <w:jc w:val="both"/>
        <w:rPr>
          <w:shd w:val="clear" w:color="auto" w:fill="FFFFFF"/>
          <w:lang w:val="en-US"/>
        </w:rPr>
      </w:pPr>
      <w:r w:rsidRPr="007624A8">
        <w:rPr>
          <w:shd w:val="clear" w:color="auto" w:fill="FFFFFF"/>
          <w:lang w:val="en"/>
        </w:rPr>
        <w:t xml:space="preserve">Loan monitoring is carried out by assessing the borrower's financial condition, according to the Bank's IRs regulating the procedure for post-loan servicing, and in accordance with the Bank's Provisions (Reserves) Calculation Methodology. </w:t>
      </w:r>
    </w:p>
    <w:p w14:paraId="0DB2192D" w14:textId="77777777" w:rsidR="00F6190F" w:rsidRPr="002C5554" w:rsidRDefault="00E15939" w:rsidP="007624A8">
      <w:pPr>
        <w:ind w:firstLine="567"/>
        <w:jc w:val="both"/>
        <w:rPr>
          <w:shd w:val="clear" w:color="auto" w:fill="FFFFFF"/>
          <w:lang w:val="en-US"/>
        </w:rPr>
      </w:pPr>
      <w:r w:rsidRPr="007624A8">
        <w:rPr>
          <w:shd w:val="clear" w:color="auto" w:fill="FFFFFF"/>
          <w:lang w:val="en"/>
        </w:rPr>
        <w:t xml:space="preserve">As part of the procedure for monitoring the calculation of loan provisions, the FCRD checks the calculation of provisions for the Bank's loan portfolio on a monthly basis. If errors are detected, the relevant information is reflected in management reports during internal credit analysis, and errors are recorded in the operational risk database. </w:t>
      </w:r>
    </w:p>
    <w:p w14:paraId="047C8E05" w14:textId="77777777" w:rsidR="00F6190F" w:rsidRPr="002C5554" w:rsidRDefault="00E15939" w:rsidP="007624A8">
      <w:pPr>
        <w:ind w:firstLine="567"/>
        <w:jc w:val="both"/>
        <w:rPr>
          <w:shd w:val="clear" w:color="auto" w:fill="FFFFFF"/>
          <w:lang w:val="en-US"/>
        </w:rPr>
      </w:pPr>
      <w:r w:rsidRPr="007624A8">
        <w:rPr>
          <w:shd w:val="clear" w:color="auto" w:fill="FFFFFF"/>
          <w:lang w:val="en"/>
        </w:rPr>
        <w:t>The monitoring of the condition of the collateral consists in checking the availability and condition of the collateral. The monitoring of collateral is carried out by UCD in accordance with the Bank's IRs regulating the procedure for monitoring collateral.</w:t>
      </w:r>
    </w:p>
    <w:p w14:paraId="396111E9" w14:textId="77777777" w:rsidR="00F6190F" w:rsidRPr="002C5554" w:rsidRDefault="00E15939" w:rsidP="007624A8">
      <w:pPr>
        <w:ind w:firstLine="567"/>
        <w:jc w:val="both"/>
        <w:rPr>
          <w:shd w:val="clear" w:color="auto" w:fill="FFFFFF"/>
          <w:lang w:val="en-US"/>
        </w:rPr>
      </w:pPr>
      <w:r w:rsidRPr="007624A8">
        <w:rPr>
          <w:shd w:val="clear" w:color="auto" w:fill="FFFFFF"/>
          <w:lang w:val="en"/>
        </w:rPr>
        <w:t>Monitoring of the targeted use of borrowed funds is carried out in accordance with the Bank's IRs regulating lending activities and post-credit services.</w:t>
      </w:r>
    </w:p>
    <w:p w14:paraId="5BF8E50B" w14:textId="77777777" w:rsidR="007624A8" w:rsidRPr="002C5554" w:rsidRDefault="00E15939" w:rsidP="007624A8">
      <w:pPr>
        <w:ind w:firstLine="567"/>
        <w:jc w:val="both"/>
        <w:rPr>
          <w:shd w:val="clear" w:color="auto" w:fill="FFFFFF"/>
          <w:lang w:val="en-US"/>
        </w:rPr>
      </w:pPr>
      <w:r w:rsidRPr="007624A8">
        <w:rPr>
          <w:shd w:val="clear" w:color="auto" w:fill="FFFFFF"/>
          <w:lang w:val="en"/>
        </w:rPr>
        <w:tab/>
        <w:t xml:space="preserve">The total credit risk is monitored based on the analysis of management reports, methods of statistical analysis – vintage analysis, as well as on the analysis of factors affecting the financial condition of the Bank. </w:t>
      </w:r>
    </w:p>
    <w:p w14:paraId="7677C92F" w14:textId="77777777" w:rsidR="00F6190F" w:rsidRPr="002C5554" w:rsidRDefault="00E15939" w:rsidP="007624A8">
      <w:pPr>
        <w:ind w:firstLine="567"/>
        <w:jc w:val="both"/>
        <w:rPr>
          <w:shd w:val="clear" w:color="auto" w:fill="FFFFFF"/>
          <w:lang w:val="en-US"/>
        </w:rPr>
      </w:pPr>
      <w:r w:rsidRPr="007624A8">
        <w:rPr>
          <w:shd w:val="clear" w:color="auto" w:fill="FFFFFF"/>
          <w:lang w:val="en"/>
        </w:rPr>
        <w:t xml:space="preserve">The Bank calculates and forecasts indicators affecting its financial condition on a monthly basis in accordance with the requirements of the regulator regarding the rules for the application of early response measures and the methodology for determining factors affecting the deterioration of the financial situation of a second-tier bank. If factors affecting the deterioration of the Bank's financial situation are identified, a draft Action Plan is being developed that provides for early response measures to improve the Bank's financial stability, prevent deterioration of its financial situation and increase the risks associated with its activities. </w:t>
      </w:r>
    </w:p>
    <w:p w14:paraId="6C6E0961" w14:textId="77777777" w:rsidR="00F6190F" w:rsidRPr="002C5554" w:rsidRDefault="00E15939" w:rsidP="007624A8">
      <w:pPr>
        <w:ind w:firstLine="567"/>
        <w:jc w:val="both"/>
        <w:rPr>
          <w:shd w:val="clear" w:color="auto" w:fill="FFFFFF"/>
          <w:lang w:val="en-US"/>
        </w:rPr>
      </w:pPr>
      <w:r w:rsidRPr="007624A8">
        <w:rPr>
          <w:shd w:val="clear" w:color="auto" w:fill="FFFFFF"/>
          <w:lang w:val="en"/>
        </w:rPr>
        <w:lastRenderedPageBreak/>
        <w:t>As part of credit risk control, the risk manager, when conducting an underwriting analysis, identifies and corrects errors made by the credit department in assessing the creditworthiness and solvency of borrowers/co-borrowers/guarantors/mortgagors.</w:t>
      </w:r>
    </w:p>
    <w:p w14:paraId="546AD170" w14:textId="77777777" w:rsidR="00F6190F" w:rsidRPr="002C5554" w:rsidRDefault="00E15939" w:rsidP="007624A8">
      <w:pPr>
        <w:ind w:firstLine="567"/>
        <w:jc w:val="both"/>
        <w:rPr>
          <w:shd w:val="clear" w:color="auto" w:fill="FFFFFF"/>
          <w:lang w:val="en-US"/>
        </w:rPr>
      </w:pPr>
      <w:r w:rsidRPr="007624A8">
        <w:rPr>
          <w:shd w:val="clear" w:color="auto" w:fill="FFFFFF"/>
          <w:lang w:val="en"/>
        </w:rPr>
        <w:t xml:space="preserve">UCD provides control over the monitoring of collateral in accordance with the Bank's IRs regulating collateral monitoring. </w:t>
      </w:r>
    </w:p>
    <w:p w14:paraId="20F191A0" w14:textId="77777777" w:rsidR="00F6190F" w:rsidRPr="002C5554" w:rsidRDefault="00E15939" w:rsidP="007624A8">
      <w:pPr>
        <w:ind w:firstLine="567"/>
        <w:jc w:val="both"/>
        <w:rPr>
          <w:shd w:val="clear" w:color="auto" w:fill="FFFFFF"/>
          <w:lang w:val="en-US"/>
        </w:rPr>
      </w:pPr>
      <w:r w:rsidRPr="007624A8">
        <w:rPr>
          <w:shd w:val="clear" w:color="auto" w:fill="FFFFFF"/>
          <w:lang w:val="en"/>
        </w:rPr>
        <w:t xml:space="preserve">The FCRD monitors the limits on a monthly basis. The results of the control of limits are included in the management reporting on credit risk and are provided monthly to BCC, the Bank's Management Board and quarterly to the Bank's Board of Directors. </w:t>
      </w:r>
    </w:p>
    <w:p w14:paraId="6E6C7C17" w14:textId="77777777" w:rsidR="00317F4A" w:rsidRPr="002C5554" w:rsidRDefault="00E15939" w:rsidP="00317F4A">
      <w:pPr>
        <w:ind w:firstLine="567"/>
        <w:jc w:val="both"/>
        <w:rPr>
          <w:shd w:val="clear" w:color="auto" w:fill="FFFFFF"/>
          <w:lang w:val="en-US"/>
        </w:rPr>
      </w:pPr>
      <w:r w:rsidRPr="007624A8">
        <w:rPr>
          <w:shd w:val="clear" w:color="auto" w:fill="FFFFFF"/>
          <w:lang w:val="en"/>
        </w:rPr>
        <w:t>As part of the management reporting process, the Financial and Credit Risk division also analyzes the state of the loan portfolio. Analysis of the loan portfolio status is a process of systematic monitoring of the Bank's lending activities, which makes it possible to assess the structure and quality of loans as of a certain date, as well as to use data on the status of the loan portfolio in dynamics and in comparison with planned and regulatory indicators to make managerial decisions on the Bank's lending activities.</w:t>
      </w:r>
    </w:p>
    <w:p w14:paraId="52E17DCF" w14:textId="77777777" w:rsidR="00317F4A" w:rsidRPr="002C5554" w:rsidRDefault="00E15939" w:rsidP="00317F4A">
      <w:pPr>
        <w:ind w:firstLine="567"/>
        <w:jc w:val="both"/>
        <w:rPr>
          <w:shd w:val="clear" w:color="auto" w:fill="FFFFFF"/>
          <w:lang w:val="en-US"/>
        </w:rPr>
      </w:pPr>
      <w:r w:rsidRPr="007624A8">
        <w:rPr>
          <w:shd w:val="clear" w:color="auto" w:fill="FFFFFF"/>
          <w:lang w:val="en"/>
        </w:rPr>
        <w:t>Management reports include information about the loan portfolio and its quality, the levels of exposure to various types of credit risk, the concentration of credit risk, classification and reserves, and other credit risk parameters.</w:t>
      </w:r>
    </w:p>
    <w:p w14:paraId="2FA446FE" w14:textId="77777777" w:rsidR="00317F4A" w:rsidRPr="002C5554" w:rsidRDefault="00E15939" w:rsidP="00317F4A">
      <w:pPr>
        <w:ind w:firstLine="567"/>
        <w:jc w:val="both"/>
        <w:rPr>
          <w:shd w:val="clear" w:color="auto" w:fill="FFFFFF"/>
          <w:lang w:val="en-US"/>
        </w:rPr>
      </w:pPr>
      <w:r w:rsidRPr="007624A8">
        <w:rPr>
          <w:shd w:val="clear" w:color="auto" w:fill="FFFFFF"/>
          <w:lang w:val="en"/>
        </w:rPr>
        <w:t>The results of the analysis of the loan portfolio status are provided:</w:t>
      </w:r>
    </w:p>
    <w:p w14:paraId="4C443B1D" w14:textId="77777777" w:rsidR="00317F4A" w:rsidRPr="002C5554" w:rsidRDefault="00E15939" w:rsidP="00317F4A">
      <w:pPr>
        <w:tabs>
          <w:tab w:val="left" w:pos="851"/>
        </w:tabs>
        <w:ind w:firstLine="567"/>
        <w:jc w:val="both"/>
        <w:rPr>
          <w:lang w:val="en-US"/>
        </w:rPr>
      </w:pPr>
      <w:r w:rsidRPr="007624A8">
        <w:rPr>
          <w:lang w:val="en"/>
        </w:rPr>
        <w:t>- quarterly for review by the RICC and the Board of Directors of the Bank;</w:t>
      </w:r>
    </w:p>
    <w:p w14:paraId="709CB441" w14:textId="77777777" w:rsidR="00317F4A" w:rsidRPr="002C5554" w:rsidRDefault="00E15939" w:rsidP="00317F4A">
      <w:pPr>
        <w:tabs>
          <w:tab w:val="left" w:pos="851"/>
        </w:tabs>
        <w:ind w:firstLine="567"/>
        <w:jc w:val="both"/>
        <w:rPr>
          <w:lang w:val="en-US"/>
        </w:rPr>
      </w:pPr>
      <w:r w:rsidRPr="007624A8">
        <w:rPr>
          <w:lang w:val="en"/>
        </w:rPr>
        <w:t xml:space="preserve">- monthly for review by BCC and the Bank's Management Board. </w:t>
      </w:r>
    </w:p>
    <w:p w14:paraId="46BC10F5" w14:textId="77777777" w:rsidR="00317F4A" w:rsidRPr="002C5554" w:rsidRDefault="00E15939" w:rsidP="00317F4A">
      <w:pPr>
        <w:tabs>
          <w:tab w:val="left" w:pos="851"/>
        </w:tabs>
        <w:ind w:firstLine="567"/>
        <w:jc w:val="both"/>
        <w:rPr>
          <w:lang w:val="en-US"/>
        </w:rPr>
      </w:pPr>
      <w:r w:rsidRPr="007624A8">
        <w:rPr>
          <w:lang w:val="en"/>
        </w:rPr>
        <w:t xml:space="preserve">- monthly to the Branch Directors to make managerial decisions </w:t>
      </w:r>
      <w:r w:rsidRPr="007624A8">
        <w:rPr>
          <w:lang w:val="en"/>
        </w:rPr>
        <w:br/>
        <w:t>on the branch's loan portfolio, after consideration by the СC.</w:t>
      </w:r>
    </w:p>
    <w:p w14:paraId="37E35DD9" w14:textId="77777777" w:rsidR="004D7169" w:rsidRPr="002C5554" w:rsidRDefault="004D7169" w:rsidP="004D7169">
      <w:pPr>
        <w:tabs>
          <w:tab w:val="left" w:pos="0"/>
          <w:tab w:val="left" w:pos="709"/>
        </w:tabs>
        <w:ind w:firstLine="709"/>
        <w:jc w:val="both"/>
        <w:rPr>
          <w:lang w:val="en-US"/>
        </w:rPr>
      </w:pPr>
    </w:p>
    <w:p w14:paraId="28941551" w14:textId="77777777" w:rsidR="00317F4A" w:rsidRPr="002C5554" w:rsidRDefault="00E15939" w:rsidP="00F6190F">
      <w:pPr>
        <w:widowControl w:val="0"/>
        <w:suppressLineNumbers/>
        <w:shd w:val="clear" w:color="auto" w:fill="FFFFFF"/>
        <w:tabs>
          <w:tab w:val="left" w:pos="431"/>
          <w:tab w:val="left" w:pos="851"/>
        </w:tabs>
        <w:suppressAutoHyphens/>
        <w:ind w:firstLine="567"/>
        <w:jc w:val="both"/>
        <w:rPr>
          <w:rStyle w:val="s0"/>
          <w:color w:val="auto"/>
          <w:lang w:val="en-US"/>
        </w:rPr>
      </w:pPr>
      <w:r w:rsidRPr="007624A8">
        <w:rPr>
          <w:rStyle w:val="s0"/>
          <w:color w:val="auto"/>
          <w:lang w:val="en"/>
        </w:rPr>
        <w:t xml:space="preserve">The organizational structure of the Bank within the framework of the credit risk management system corresponds to the chosen business model, the scale of activities, types and complexity of operations, minimizes conflicts of interest and distributes the powers of credit risk management between collegial bodies and structural </w:t>
      </w:r>
      <w:bookmarkStart w:id="10" w:name="z179"/>
      <w:r w:rsidRPr="007624A8">
        <w:rPr>
          <w:rStyle w:val="s0"/>
          <w:color w:val="auto"/>
          <w:lang w:val="en"/>
        </w:rPr>
        <w:t>divisions, and includes:</w:t>
      </w:r>
    </w:p>
    <w:bookmarkEnd w:id="10"/>
    <w:p w14:paraId="540282D7" w14:textId="77777777" w:rsidR="00317F4A" w:rsidRPr="002C5554" w:rsidRDefault="00E15939" w:rsidP="00F6190F">
      <w:pPr>
        <w:pStyle w:val="aa"/>
        <w:tabs>
          <w:tab w:val="left" w:pos="431"/>
          <w:tab w:val="left" w:pos="993"/>
          <w:tab w:val="left" w:pos="1134"/>
        </w:tabs>
        <w:spacing w:line="240" w:lineRule="auto"/>
        <w:ind w:left="567"/>
        <w:jc w:val="both"/>
        <w:rPr>
          <w:rFonts w:ascii="Times New Roman" w:hAnsi="Times New Roman" w:cs="Times New Roman"/>
          <w:b/>
          <w:sz w:val="24"/>
          <w:szCs w:val="24"/>
          <w:lang w:val="en-US"/>
        </w:rPr>
      </w:pPr>
      <w:r w:rsidRPr="007624A8">
        <w:rPr>
          <w:rFonts w:ascii="Times New Roman" w:hAnsi="Times New Roman" w:cs="Times New Roman"/>
          <w:b/>
          <w:sz w:val="24"/>
          <w:szCs w:val="24"/>
          <w:lang w:val="en"/>
        </w:rPr>
        <w:t>The Bank's Board of Directors:</w:t>
      </w:r>
    </w:p>
    <w:p w14:paraId="7F6257B4"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Approves the Bank's Strategy, including the Bank's risk appetite strategy, which approves the aggregated level of risk appetite for credit risk, the relevant strategies and the Bank's role in the financial system;</w:t>
      </w:r>
    </w:p>
    <w:p w14:paraId="7ACBA047"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 xml:space="preserve">Monitors compliance with the risk appetite strategy, the aggregated level of credit risk appetite, and the credit risk management policy; </w:t>
      </w:r>
    </w:p>
    <w:p w14:paraId="70D0C8CA"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Approves the credit risk management policy;</w:t>
      </w:r>
    </w:p>
    <w:p w14:paraId="14B3D71C"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Fonts w:ascii="Times New Roman" w:hAnsi="Times New Roman" w:cs="Times New Roman"/>
          <w:sz w:val="24"/>
          <w:szCs w:val="24"/>
          <w:lang w:val="en"/>
        </w:rPr>
        <w:t>defines the responsible departments for the development of the scoring system, their implementation, application and control of their functioning.</w:t>
      </w:r>
    </w:p>
    <w:p w14:paraId="52500C09" w14:textId="77777777" w:rsidR="00317F4A" w:rsidRPr="007624A8" w:rsidRDefault="00E15939" w:rsidP="00F6190F">
      <w:pPr>
        <w:pStyle w:val="aa"/>
        <w:tabs>
          <w:tab w:val="left" w:pos="431"/>
          <w:tab w:val="left" w:pos="993"/>
          <w:tab w:val="left" w:pos="1134"/>
        </w:tabs>
        <w:spacing w:line="240" w:lineRule="auto"/>
        <w:ind w:left="567"/>
        <w:jc w:val="both"/>
        <w:rPr>
          <w:rFonts w:ascii="Times New Roman" w:hAnsi="Times New Roman" w:cs="Times New Roman"/>
          <w:b/>
          <w:sz w:val="24"/>
          <w:szCs w:val="24"/>
        </w:rPr>
      </w:pPr>
      <w:r w:rsidRPr="007624A8">
        <w:rPr>
          <w:rFonts w:ascii="Times New Roman" w:hAnsi="Times New Roman" w:cs="Times New Roman"/>
          <w:b/>
          <w:sz w:val="24"/>
          <w:szCs w:val="24"/>
          <w:lang w:val="en"/>
        </w:rPr>
        <w:t>RICC of the Bank:</w:t>
      </w:r>
    </w:p>
    <w:p w14:paraId="63EA9E51"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It preliminarily reviews and approves the Bank's aggregated risk appetite for credit risk and recommends approval of the Bank's Board of Directors;</w:t>
      </w:r>
    </w:p>
    <w:p w14:paraId="3AC87C97"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Ensures the development of stress testing procedures and stress testing scenarios for further submission to the bank's Board of Directors for approval;</w:t>
      </w:r>
    </w:p>
    <w:p w14:paraId="38608DAA"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Ensures the development of an internal procedure governing the functioning of the management information system, which ensures that the bank's Board of Directors is provided with complete, reliable and timely information on the level of credit risks on a regular basis;</w:t>
      </w:r>
    </w:p>
    <w:p w14:paraId="6B27804E"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Provides the bank's Board of Directors with the necessary information to monitor and evaluate the quality of the board's work in accordance with the bank's internal documents and Rules, which also includes exceeding the approved aggregated level of risk appetite for credit risk and the reasons for its violation;</w:t>
      </w:r>
    </w:p>
    <w:p w14:paraId="65723076" w14:textId="77777777" w:rsidR="00317F4A" w:rsidRPr="002C5554" w:rsidRDefault="00E15939" w:rsidP="00F6190F">
      <w:pPr>
        <w:pStyle w:val="aa"/>
        <w:tabs>
          <w:tab w:val="left" w:pos="431"/>
          <w:tab w:val="left" w:pos="993"/>
          <w:tab w:val="left" w:pos="1134"/>
        </w:tabs>
        <w:spacing w:line="240" w:lineRule="auto"/>
        <w:ind w:left="567"/>
        <w:jc w:val="both"/>
        <w:rPr>
          <w:rFonts w:ascii="Times New Roman" w:hAnsi="Times New Roman" w:cs="Times New Roman"/>
          <w:b/>
          <w:sz w:val="24"/>
          <w:szCs w:val="24"/>
          <w:lang w:val="en-US"/>
        </w:rPr>
      </w:pPr>
      <w:r w:rsidRPr="007624A8">
        <w:rPr>
          <w:rFonts w:ascii="Times New Roman" w:hAnsi="Times New Roman" w:cs="Times New Roman"/>
          <w:b/>
          <w:sz w:val="24"/>
          <w:szCs w:val="24"/>
          <w:lang w:val="en"/>
        </w:rPr>
        <w:t>The Management Board of the Bank:</w:t>
      </w:r>
    </w:p>
    <w:p w14:paraId="68BA1015"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Ensures the development of a Credit Risk Management Policy and submits it to the Bank's RICC for preliminary approval;</w:t>
      </w:r>
    </w:p>
    <w:p w14:paraId="4507E113"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lastRenderedPageBreak/>
        <w:t>approves the methodology for determining and calculating the aggregated level of risk appetite for the Bank's credit risk;</w:t>
      </w:r>
    </w:p>
    <w:p w14:paraId="5A5281DF"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He is responsible for monitoring and controlling compliance by the Bank and its employees with the Bank's IRs regarding credit risk management;</w:t>
      </w:r>
    </w:p>
    <w:p w14:paraId="2A4D3E66"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Approves the Bank's IRs on credit risk management in order to implement this Policy;</w:t>
      </w:r>
    </w:p>
    <w:p w14:paraId="705FA897"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 xml:space="preserve">at least once a month, it reviews information on the monitoring and control of the Bank's compliance with the Bank's IRs regarding credit risk management by reviewing information on credit risk management; </w:t>
      </w:r>
    </w:p>
    <w:p w14:paraId="20D3AB62"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regularly reviews information on the results of credit risk stress testing;</w:t>
      </w:r>
    </w:p>
    <w:p w14:paraId="73629242"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 xml:space="preserve">approves the levels of risk appetite for credit risk, including within the framework of the aggregated level of risk appetite for credit risk approved by the Board of Directors of the Bank; </w:t>
      </w:r>
    </w:p>
    <w:p w14:paraId="2791EF01" w14:textId="77777777" w:rsidR="00317F4A" w:rsidRPr="007624A8" w:rsidRDefault="00E15939" w:rsidP="00317F4A">
      <w:pPr>
        <w:pStyle w:val="aa"/>
        <w:numPr>
          <w:ilvl w:val="0"/>
          <w:numId w:val="46"/>
        </w:numPr>
        <w:tabs>
          <w:tab w:val="left" w:pos="431"/>
          <w:tab w:val="left" w:pos="993"/>
        </w:tabs>
        <w:spacing w:line="240" w:lineRule="auto"/>
        <w:ind w:left="0" w:firstLine="567"/>
        <w:jc w:val="both"/>
        <w:rPr>
          <w:rStyle w:val="s0"/>
          <w:color w:val="auto"/>
        </w:rPr>
      </w:pPr>
      <w:r w:rsidRPr="007624A8">
        <w:rPr>
          <w:rStyle w:val="s0"/>
          <w:color w:val="auto"/>
          <w:lang w:val="en"/>
        </w:rPr>
        <w:t>approves credit risk limits.</w:t>
      </w:r>
    </w:p>
    <w:p w14:paraId="248ACB1D" w14:textId="77777777" w:rsidR="00317F4A" w:rsidRPr="007624A8" w:rsidRDefault="00E15939" w:rsidP="00F6190F">
      <w:pPr>
        <w:pStyle w:val="aa"/>
        <w:tabs>
          <w:tab w:val="left" w:pos="431"/>
          <w:tab w:val="left" w:pos="993"/>
          <w:tab w:val="left" w:pos="1134"/>
        </w:tabs>
        <w:spacing w:line="240" w:lineRule="auto"/>
        <w:ind w:left="567"/>
        <w:jc w:val="both"/>
        <w:rPr>
          <w:rFonts w:ascii="Times New Roman" w:hAnsi="Times New Roman" w:cs="Times New Roman"/>
          <w:b/>
          <w:sz w:val="24"/>
          <w:szCs w:val="24"/>
        </w:rPr>
      </w:pPr>
      <w:r w:rsidRPr="007624A8">
        <w:rPr>
          <w:rFonts w:ascii="Times New Roman" w:hAnsi="Times New Roman" w:cs="Times New Roman"/>
          <w:b/>
          <w:sz w:val="24"/>
          <w:szCs w:val="24"/>
          <w:lang w:val="en"/>
        </w:rPr>
        <w:t>The Bank's Credit Committee:</w:t>
      </w:r>
    </w:p>
    <w:p w14:paraId="7B9ED187"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Based on the results of the development, it submits the Bank's IRs regarding credit risk management to the Bank's Management Board for approval;</w:t>
      </w:r>
    </w:p>
    <w:p w14:paraId="16D91883"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It preliminarily reviews the Bank's IRs on credit risk management;</w:t>
      </w:r>
    </w:p>
    <w:p w14:paraId="218E25CB"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 xml:space="preserve">It preliminarily reviews the limits on credit risk, including within the framework of the aggregated level of risk appetite for credit risk approved by the Board of Directors of the Bank, and makes recommendations on the limits to the Bank's Management Board; </w:t>
      </w:r>
    </w:p>
    <w:p w14:paraId="654CAC2B"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decides on loan applications within the framework of the approved authority;</w:t>
      </w:r>
    </w:p>
    <w:p w14:paraId="4975DC24" w14:textId="77777777" w:rsidR="00317F4A" w:rsidRPr="002C5554" w:rsidRDefault="00E15939" w:rsidP="00F6190F">
      <w:pPr>
        <w:pStyle w:val="aa"/>
        <w:tabs>
          <w:tab w:val="left" w:pos="1134"/>
        </w:tabs>
        <w:spacing w:line="240" w:lineRule="auto"/>
        <w:ind w:left="0" w:firstLine="567"/>
        <w:jc w:val="both"/>
        <w:rPr>
          <w:rFonts w:ascii="Times New Roman" w:hAnsi="Times New Roman" w:cs="Times New Roman"/>
          <w:sz w:val="24"/>
          <w:szCs w:val="24"/>
          <w:lang w:val="en-US"/>
        </w:rPr>
      </w:pPr>
      <w:r w:rsidRPr="007624A8">
        <w:rPr>
          <w:rFonts w:ascii="Times New Roman" w:hAnsi="Times New Roman" w:cs="Times New Roman"/>
          <w:b/>
          <w:sz w:val="24"/>
          <w:szCs w:val="24"/>
          <w:lang w:val="en"/>
        </w:rPr>
        <w:t>The Internal Audit Department</w:t>
      </w:r>
      <w:r w:rsidRPr="007624A8">
        <w:rPr>
          <w:rFonts w:ascii="Times New Roman" w:hAnsi="Times New Roman" w:cs="Times New Roman"/>
          <w:sz w:val="24"/>
          <w:szCs w:val="24"/>
          <w:lang w:val="en"/>
        </w:rPr>
        <w:t xml:space="preserve"> evaluates the effectiveness of the credit risk management system.</w:t>
      </w:r>
    </w:p>
    <w:p w14:paraId="498B27D8" w14:textId="77777777" w:rsidR="00317F4A" w:rsidRPr="002C5554" w:rsidRDefault="00E15939" w:rsidP="00F6190F">
      <w:pPr>
        <w:pStyle w:val="aa"/>
        <w:tabs>
          <w:tab w:val="left" w:pos="431"/>
          <w:tab w:val="left" w:pos="993"/>
          <w:tab w:val="left" w:pos="1134"/>
        </w:tabs>
        <w:spacing w:line="240" w:lineRule="auto"/>
        <w:ind w:left="567"/>
        <w:jc w:val="both"/>
        <w:rPr>
          <w:rFonts w:ascii="Times New Roman" w:hAnsi="Times New Roman" w:cs="Times New Roman"/>
          <w:b/>
          <w:sz w:val="24"/>
          <w:szCs w:val="24"/>
          <w:lang w:val="en-US"/>
        </w:rPr>
      </w:pPr>
      <w:r w:rsidRPr="007624A8">
        <w:rPr>
          <w:rFonts w:ascii="Times New Roman" w:hAnsi="Times New Roman" w:cs="Times New Roman"/>
          <w:b/>
          <w:sz w:val="24"/>
          <w:szCs w:val="24"/>
          <w:lang w:val="en"/>
        </w:rPr>
        <w:t>Financial and Credit Risks Department:</w:t>
      </w:r>
    </w:p>
    <w:p w14:paraId="7A847058"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develops a risk management system that includes risk management policies and procedures, a risk appetite strategy, and the definition of risk appetite levels;</w:t>
      </w:r>
    </w:p>
    <w:p w14:paraId="45D6C8DE"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identifies significant current and potential risks inherent in the bank's activities;</w:t>
      </w:r>
    </w:p>
    <w:p w14:paraId="5BE4D1E0"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performs risk assessment and determination of aggregated risk appetite levels;</w:t>
      </w:r>
    </w:p>
    <w:p w14:paraId="7454676C"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develops, for subsequent consideration by the risk management committee and approval by the Bank's Board of Directors, an aggregated level of risk appetite for credit risk, monitoring compliance with risk appetite levels;</w:t>
      </w:r>
    </w:p>
    <w:p w14:paraId="65108D66"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develops early warning systems and triggers aimed at detecting violations of risk appetite levels;</w:t>
      </w:r>
    </w:p>
    <w:p w14:paraId="470D62F0"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provides management reports to the Management Board of the Bank, the RICC of the Bank and the Board of Directors of the Bank;</w:t>
      </w:r>
    </w:p>
    <w:p w14:paraId="679965B4"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identifies and measures credit risks based on quantitative and qualitative parameters;</w:t>
      </w:r>
    </w:p>
    <w:p w14:paraId="02DFA667"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Performs an expert assessment of changes in market parameters necessary for calculating and determining the aggregated level of risk appetite for credit risk, calculates current and forecast levels of credit risk;</w:t>
      </w:r>
    </w:p>
    <w:p w14:paraId="58FF6222"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initiates the adjustment of the credit risk level;</w:t>
      </w:r>
    </w:p>
    <w:p w14:paraId="58648C57"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 xml:space="preserve"> Based on the results of the calculation of forecast and current risk levels, the aggregated risk appetite level is preliminarily determined for a period of at least 1 (one) year; </w:t>
      </w:r>
    </w:p>
    <w:p w14:paraId="2468DC38" w14:textId="77777777" w:rsidR="00317F4A" w:rsidRPr="002C5554" w:rsidRDefault="00E15939" w:rsidP="00317F4A">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 xml:space="preserve">develops proposals for approving a credit risk management strategy, including determining the levels of credit risks and characterizing their parameters (quantitative and qualitative); </w:t>
      </w:r>
    </w:p>
    <w:p w14:paraId="65D5186C" w14:textId="77777777" w:rsidR="00317F4A" w:rsidRPr="002C5554" w:rsidRDefault="00E15939" w:rsidP="007624A8">
      <w:pPr>
        <w:pStyle w:val="aa"/>
        <w:numPr>
          <w:ilvl w:val="0"/>
          <w:numId w:val="46"/>
        </w:numPr>
        <w:tabs>
          <w:tab w:val="left" w:pos="431"/>
          <w:tab w:val="left" w:pos="993"/>
        </w:tabs>
        <w:spacing w:line="240" w:lineRule="auto"/>
        <w:ind w:left="0" w:firstLine="567"/>
        <w:jc w:val="both"/>
        <w:rPr>
          <w:rStyle w:val="s0"/>
          <w:color w:val="auto"/>
          <w:lang w:val="en-US"/>
        </w:rPr>
      </w:pPr>
      <w:r w:rsidRPr="007624A8">
        <w:rPr>
          <w:rStyle w:val="s0"/>
          <w:color w:val="auto"/>
          <w:lang w:val="en"/>
        </w:rPr>
        <w:t>based on the results of the approval by the Bank's Management Board of the preliminary credit risk assessment, prepares for the Board of Directors of the Bank the results of calculations of the aggregated level of risk appetite for credit risk.</w:t>
      </w:r>
    </w:p>
    <w:p w14:paraId="3B16DD66" w14:textId="77777777" w:rsidR="00681D63" w:rsidRPr="002C5554" w:rsidRDefault="00681D63" w:rsidP="001609A0">
      <w:pPr>
        <w:ind w:firstLine="709"/>
        <w:jc w:val="both"/>
        <w:rPr>
          <w:rFonts w:eastAsiaTheme="minorHAnsi"/>
          <w:lang w:val="en-US"/>
        </w:rPr>
      </w:pPr>
    </w:p>
    <w:p w14:paraId="773856B0" w14:textId="77777777" w:rsidR="003550AD" w:rsidRPr="002C5554" w:rsidRDefault="00E15939" w:rsidP="00577217">
      <w:pPr>
        <w:ind w:firstLine="567"/>
        <w:jc w:val="both"/>
        <w:rPr>
          <w:shd w:val="clear" w:color="auto" w:fill="FFFFFF"/>
          <w:lang w:val="en-US"/>
        </w:rPr>
      </w:pPr>
      <w:r w:rsidRPr="00577217">
        <w:rPr>
          <w:shd w:val="clear" w:color="auto" w:fill="FFFFFF"/>
          <w:lang w:val="en"/>
        </w:rPr>
        <w:t>Information on the bank's assets exposed to credit risk and credit risk as of 01.01.2026 is provided in Appendix 1.</w:t>
      </w:r>
    </w:p>
    <w:p w14:paraId="47628676" w14:textId="77777777" w:rsidR="00577217" w:rsidRPr="002C5554" w:rsidRDefault="00577217" w:rsidP="0083605F">
      <w:pPr>
        <w:pStyle w:val="Normaltext"/>
        <w:rPr>
          <w:rFonts w:ascii="Times New Roman" w:hAnsi="Times New Roman" w:cs="Times New Roman"/>
          <w:lang w:val="en-US"/>
        </w:rPr>
        <w:sectPr w:rsidR="00577217" w:rsidRPr="002C5554" w:rsidSect="005A7E8A">
          <w:headerReference w:type="default" r:id="rId8"/>
          <w:footerReference w:type="default" r:id="rId9"/>
          <w:headerReference w:type="first" r:id="rId10"/>
          <w:pgSz w:w="11906" w:h="16838" w:code="9"/>
          <w:pgMar w:top="720" w:right="1133" w:bottom="720" w:left="1276" w:header="284" w:footer="573" w:gutter="0"/>
          <w:cols w:space="2"/>
          <w:titlePg/>
          <w:docGrid w:linePitch="360"/>
        </w:sectPr>
      </w:pPr>
    </w:p>
    <w:p w14:paraId="29CD45B2" w14:textId="77777777" w:rsidR="0083605F" w:rsidRPr="002C5554" w:rsidRDefault="00E15939" w:rsidP="00577217">
      <w:pPr>
        <w:pStyle w:val="Normaltext"/>
        <w:ind w:left="10065"/>
        <w:rPr>
          <w:rFonts w:ascii="Times New Roman" w:hAnsi="Times New Roman" w:cs="Times New Roman"/>
          <w:lang w:val="en-US"/>
        </w:rPr>
      </w:pPr>
      <w:r w:rsidRPr="00577217">
        <w:rPr>
          <w:rFonts w:ascii="Times New Roman" w:hAnsi="Times New Roman" w:cs="Times New Roman"/>
          <w:lang w:val="en"/>
        </w:rPr>
        <w:lastRenderedPageBreak/>
        <w:t>Appendix 1 to Information on accepted risks, risk management procedures and capital of Otbasy Bank JSC for 2025</w:t>
      </w:r>
    </w:p>
    <w:p w14:paraId="42F77590" w14:textId="77777777" w:rsidR="00577217" w:rsidRPr="002C5554" w:rsidRDefault="00577217" w:rsidP="0083605F">
      <w:pPr>
        <w:pStyle w:val="Normaltext"/>
        <w:rPr>
          <w:rFonts w:ascii="Times New Roman" w:hAnsi="Times New Roman" w:cs="Times New Roman"/>
          <w:lang w:val="en-US"/>
        </w:rPr>
      </w:pPr>
    </w:p>
    <w:p w14:paraId="2A65DC1F" w14:textId="77777777" w:rsidR="0083605F" w:rsidRPr="002C5554" w:rsidRDefault="00E15939" w:rsidP="0083605F">
      <w:pPr>
        <w:pStyle w:val="pr"/>
        <w:rPr>
          <w:color w:val="000000" w:themeColor="text1"/>
          <w:lang w:val="en-US"/>
        </w:rPr>
      </w:pPr>
      <w:r w:rsidRPr="00B235C4">
        <w:rPr>
          <w:rStyle w:val="s19"/>
          <w:color w:val="000000" w:themeColor="text1"/>
          <w:lang w:val="en"/>
        </w:rPr>
        <w:t>Table 1</w:t>
      </w:r>
    </w:p>
    <w:p w14:paraId="20BA5DB1" w14:textId="77777777" w:rsidR="00A83CD2" w:rsidRPr="002C5554" w:rsidRDefault="00A83CD2" w:rsidP="00A83CD2">
      <w:pPr>
        <w:pStyle w:val="Normaltext"/>
        <w:rPr>
          <w:rFonts w:ascii="Times New Roman" w:hAnsi="Times New Roman" w:cs="Times New Roman"/>
          <w:lang w:val="en-US"/>
        </w:rPr>
      </w:pPr>
    </w:p>
    <w:p w14:paraId="28A90D45" w14:textId="77777777" w:rsidR="00AB4FAA" w:rsidRPr="002C5554" w:rsidRDefault="00E15939" w:rsidP="00AB4FAA">
      <w:pPr>
        <w:pStyle w:val="pc"/>
        <w:rPr>
          <w:rStyle w:val="s19"/>
          <w:b/>
          <w:color w:val="auto"/>
          <w:lang w:val="en-US"/>
        </w:rPr>
      </w:pPr>
      <w:r w:rsidRPr="00B235C4">
        <w:rPr>
          <w:rStyle w:val="s19"/>
          <w:b/>
          <w:color w:val="auto"/>
          <w:lang w:val="en"/>
        </w:rPr>
        <w:t>Information on the bank's assets exposed to credit risk as of 01.01.2026</w:t>
      </w:r>
    </w:p>
    <w:p w14:paraId="786ECBDB" w14:textId="77777777" w:rsidR="00AB4FAA" w:rsidRDefault="00E15939" w:rsidP="005B2ADB">
      <w:pPr>
        <w:pStyle w:val="pr"/>
        <w:tabs>
          <w:tab w:val="left" w:pos="13725"/>
          <w:tab w:val="right" w:pos="15398"/>
        </w:tabs>
        <w:jc w:val="left"/>
        <w:rPr>
          <w:rStyle w:val="s19"/>
          <w:color w:val="auto"/>
        </w:rPr>
      </w:pPr>
      <w:r>
        <w:rPr>
          <w:rStyle w:val="s19"/>
          <w:color w:val="auto"/>
          <w:lang w:val="en"/>
        </w:rPr>
        <w:tab/>
        <w:t xml:space="preserve">    (thousand tenge)</w:t>
      </w:r>
    </w:p>
    <w:p w14:paraId="4D8F8ED0" w14:textId="77777777" w:rsidR="005B2ADB" w:rsidRPr="00B235C4" w:rsidRDefault="005B2ADB" w:rsidP="005B2ADB">
      <w:pPr>
        <w:pStyle w:val="pr"/>
        <w:tabs>
          <w:tab w:val="left" w:pos="13725"/>
          <w:tab w:val="right" w:pos="15398"/>
        </w:tabs>
        <w:jc w:val="left"/>
        <w:rPr>
          <w:color w:val="auto"/>
        </w:rPr>
      </w:pPr>
    </w:p>
    <w:tbl>
      <w:tblPr>
        <w:tblW w:w="4974" w:type="pct"/>
        <w:jc w:val="center"/>
        <w:tblLayout w:type="fixed"/>
        <w:tblCellMar>
          <w:left w:w="0" w:type="dxa"/>
          <w:right w:w="0" w:type="dxa"/>
        </w:tblCellMar>
        <w:tblLook w:val="04A0" w:firstRow="1" w:lastRow="0" w:firstColumn="1" w:lastColumn="0" w:noHBand="0" w:noVBand="1"/>
      </w:tblPr>
      <w:tblGrid>
        <w:gridCol w:w="700"/>
        <w:gridCol w:w="2573"/>
        <w:gridCol w:w="1885"/>
        <w:gridCol w:w="2234"/>
        <w:gridCol w:w="2013"/>
        <w:gridCol w:w="2338"/>
        <w:gridCol w:w="1634"/>
        <w:gridCol w:w="1921"/>
      </w:tblGrid>
      <w:tr w:rsidR="00742452" w:rsidRPr="00D25369" w14:paraId="74D6ED7A" w14:textId="77777777" w:rsidTr="00C12C29">
        <w:trPr>
          <w:trHeight w:val="2884"/>
          <w:jc w:val="center"/>
        </w:trPr>
        <w:tc>
          <w:tcPr>
            <w:tcW w:w="2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669DF4" w14:textId="77777777" w:rsidR="00AB4FAA" w:rsidRPr="00B235C4" w:rsidRDefault="00E15939" w:rsidP="00A31B35">
            <w:pPr>
              <w:pStyle w:val="pc"/>
              <w:rPr>
                <w:color w:val="000000" w:themeColor="text1"/>
              </w:rPr>
            </w:pPr>
            <w:r w:rsidRPr="00B235C4">
              <w:rPr>
                <w:rStyle w:val="s19"/>
                <w:color w:val="000000" w:themeColor="text1"/>
                <w:lang w:val="en"/>
              </w:rPr>
              <w:t>№</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64BB1" w14:textId="77777777" w:rsidR="00AB4FAA" w:rsidRPr="00B235C4" w:rsidRDefault="00E15939" w:rsidP="00A31B35">
            <w:pPr>
              <w:pStyle w:val="pc"/>
              <w:rPr>
                <w:color w:val="000000" w:themeColor="text1"/>
              </w:rPr>
            </w:pPr>
            <w:r w:rsidRPr="00B235C4">
              <w:rPr>
                <w:rStyle w:val="s19"/>
                <w:color w:val="000000" w:themeColor="text1"/>
                <w:lang w:val="en"/>
              </w:rPr>
              <w:t>Name</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52AC08" w14:textId="77777777" w:rsidR="00AB4FAA" w:rsidRPr="00B235C4" w:rsidRDefault="00E15939" w:rsidP="00A31B35">
            <w:pPr>
              <w:pStyle w:val="pc"/>
              <w:rPr>
                <w:color w:val="000000" w:themeColor="text1"/>
              </w:rPr>
            </w:pPr>
            <w:r w:rsidRPr="00B235C4">
              <w:rPr>
                <w:rStyle w:val="s19"/>
                <w:color w:val="000000" w:themeColor="text1"/>
                <w:lang w:val="en"/>
              </w:rPr>
              <w:t>Claims in default</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9E6381" w14:textId="77777777" w:rsidR="00AB4FAA" w:rsidRPr="002C5554" w:rsidRDefault="00E15939" w:rsidP="00A31B35">
            <w:pPr>
              <w:pStyle w:val="pc"/>
              <w:rPr>
                <w:color w:val="000000" w:themeColor="text1"/>
                <w:lang w:val="en-US"/>
              </w:rPr>
            </w:pPr>
            <w:r w:rsidRPr="00B235C4">
              <w:rPr>
                <w:rStyle w:val="s19"/>
                <w:color w:val="000000" w:themeColor="text1"/>
                <w:lang w:val="en"/>
              </w:rPr>
              <w:t>Claims with overdue principal debt and/or accrued remuneration in excess of 90 (ninety) calendar days</w:t>
            </w:r>
          </w:p>
        </w:tc>
        <w:tc>
          <w:tcPr>
            <w:tcW w:w="6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5C3956" w14:textId="77777777" w:rsidR="00AB4FAA" w:rsidRPr="002C5554" w:rsidRDefault="00E15939" w:rsidP="00A31B35">
            <w:pPr>
              <w:pStyle w:val="pc"/>
              <w:rPr>
                <w:color w:val="000000" w:themeColor="text1"/>
                <w:lang w:val="en-US"/>
              </w:rPr>
            </w:pPr>
            <w:r w:rsidRPr="00B235C4">
              <w:rPr>
                <w:rStyle w:val="s19"/>
                <w:color w:val="000000" w:themeColor="text1"/>
                <w:lang w:val="en"/>
              </w:rPr>
              <w:t>Claims that are not in default</w:t>
            </w:r>
          </w:p>
        </w:tc>
        <w:tc>
          <w:tcPr>
            <w:tcW w:w="7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105A2E" w14:textId="77777777" w:rsidR="00AB4FAA" w:rsidRPr="002C5554" w:rsidRDefault="00E15939" w:rsidP="00A31B35">
            <w:pPr>
              <w:pStyle w:val="pc"/>
              <w:rPr>
                <w:color w:val="000000" w:themeColor="text1"/>
                <w:lang w:val="en-US"/>
              </w:rPr>
            </w:pPr>
            <w:r w:rsidRPr="00B235C4">
              <w:rPr>
                <w:rStyle w:val="s19"/>
                <w:color w:val="000000" w:themeColor="text1"/>
                <w:lang w:val="en"/>
              </w:rPr>
              <w:t>Claims with overdue principal debt and/or accrued remuneration not exceeding 90 (ninety) calendar days</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606A8D" w14:textId="77777777" w:rsidR="00AB4FAA" w:rsidRPr="00B235C4" w:rsidRDefault="00E15939" w:rsidP="00A31B35">
            <w:pPr>
              <w:pStyle w:val="pc"/>
              <w:rPr>
                <w:color w:val="000000" w:themeColor="text1"/>
              </w:rPr>
            </w:pPr>
            <w:r w:rsidRPr="00B235C4">
              <w:rPr>
                <w:rStyle w:val="s19"/>
                <w:color w:val="000000" w:themeColor="text1"/>
                <w:lang w:val="en"/>
              </w:rPr>
              <w:t>Provisions (reserves)</w:t>
            </w:r>
          </w:p>
        </w:tc>
        <w:tc>
          <w:tcPr>
            <w:tcW w:w="6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E4AD3E" w14:textId="77777777" w:rsidR="00AB4FAA" w:rsidRPr="002C5554" w:rsidRDefault="00E15939" w:rsidP="00A31B35">
            <w:pPr>
              <w:pStyle w:val="pc"/>
              <w:rPr>
                <w:color w:val="000000" w:themeColor="text1"/>
                <w:lang w:val="en-US"/>
              </w:rPr>
            </w:pPr>
            <w:r w:rsidRPr="00B235C4">
              <w:rPr>
                <w:rStyle w:val="s19"/>
                <w:color w:val="000000" w:themeColor="text1"/>
                <w:lang w:val="en"/>
              </w:rPr>
              <w:t>Net book value of assets</w:t>
            </w:r>
          </w:p>
        </w:tc>
      </w:tr>
      <w:tr w:rsidR="00742452" w14:paraId="61C15880" w14:textId="77777777" w:rsidTr="00C12C29">
        <w:trPr>
          <w:trHeight w:val="308"/>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145DF" w14:textId="77777777" w:rsidR="00AB4FAA" w:rsidRPr="00B235C4" w:rsidRDefault="00E15939" w:rsidP="00A31B35">
            <w:pPr>
              <w:pStyle w:val="pc"/>
              <w:rPr>
                <w:color w:val="000000" w:themeColor="text1"/>
              </w:rPr>
            </w:pPr>
            <w:r w:rsidRPr="00B235C4">
              <w:rPr>
                <w:rStyle w:val="s19"/>
                <w:color w:val="000000" w:themeColor="text1"/>
                <w:lang w:val="en"/>
              </w:rPr>
              <w:t>1</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52C27339" w14:textId="77777777" w:rsidR="00AB4FAA" w:rsidRPr="00B235C4" w:rsidRDefault="00E15939" w:rsidP="00A31B35">
            <w:pPr>
              <w:pStyle w:val="pc"/>
              <w:rPr>
                <w:color w:val="000000" w:themeColor="text1"/>
              </w:rPr>
            </w:pPr>
            <w:r w:rsidRPr="00B235C4">
              <w:rPr>
                <w:rStyle w:val="s19"/>
                <w:color w:val="000000" w:themeColor="text1"/>
                <w:lang w:val="en"/>
              </w:rPr>
              <w:t>2</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08CB2B40" w14:textId="77777777" w:rsidR="00AB4FAA" w:rsidRPr="00B235C4" w:rsidRDefault="00E15939" w:rsidP="00A31B35">
            <w:pPr>
              <w:pStyle w:val="pc"/>
              <w:rPr>
                <w:color w:val="000000" w:themeColor="text1"/>
              </w:rPr>
            </w:pPr>
            <w:r w:rsidRPr="00B235C4">
              <w:rPr>
                <w:rStyle w:val="s19"/>
                <w:color w:val="000000" w:themeColor="text1"/>
                <w:lang w:val="en"/>
              </w:rPr>
              <w:t>3</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7546EC0C" w14:textId="77777777" w:rsidR="00AB4FAA" w:rsidRPr="00B235C4" w:rsidRDefault="00E15939" w:rsidP="00A31B35">
            <w:pPr>
              <w:pStyle w:val="pc"/>
              <w:rPr>
                <w:color w:val="000000" w:themeColor="text1"/>
              </w:rPr>
            </w:pPr>
            <w:r w:rsidRPr="00B235C4">
              <w:rPr>
                <w:rStyle w:val="s19"/>
                <w:color w:val="000000" w:themeColor="text1"/>
                <w:lang w:val="en"/>
              </w:rPr>
              <w:t>4</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3CDA723C" w14:textId="77777777" w:rsidR="00AB4FAA" w:rsidRPr="00B235C4" w:rsidRDefault="00E15939" w:rsidP="00A31B35">
            <w:pPr>
              <w:pStyle w:val="pc"/>
              <w:rPr>
                <w:color w:val="000000" w:themeColor="text1"/>
              </w:rPr>
            </w:pPr>
            <w:r w:rsidRPr="00B235C4">
              <w:rPr>
                <w:rStyle w:val="s19"/>
                <w:color w:val="000000" w:themeColor="text1"/>
                <w:lang w:val="en"/>
              </w:rPr>
              <w:t>5</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235D349A" w14:textId="77777777" w:rsidR="00AB4FAA" w:rsidRPr="00B235C4" w:rsidRDefault="00E15939" w:rsidP="00A31B35">
            <w:pPr>
              <w:pStyle w:val="pc"/>
              <w:rPr>
                <w:color w:val="000000" w:themeColor="text1"/>
              </w:rPr>
            </w:pPr>
            <w:r w:rsidRPr="00B235C4">
              <w:rPr>
                <w:rStyle w:val="s19"/>
                <w:color w:val="000000" w:themeColor="text1"/>
                <w:lang w:val="en"/>
              </w:rPr>
              <w:t>6</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9B7B264" w14:textId="77777777" w:rsidR="00AB4FAA" w:rsidRPr="00B235C4" w:rsidRDefault="00E15939" w:rsidP="00A31B35">
            <w:pPr>
              <w:pStyle w:val="pc"/>
              <w:rPr>
                <w:color w:val="000000" w:themeColor="text1"/>
              </w:rPr>
            </w:pPr>
            <w:r w:rsidRPr="00B235C4">
              <w:rPr>
                <w:rStyle w:val="s19"/>
                <w:color w:val="000000" w:themeColor="text1"/>
                <w:lang w:val="en"/>
              </w:rPr>
              <w:t>7</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274373E1" w14:textId="77777777" w:rsidR="00AB4FAA" w:rsidRPr="00B235C4" w:rsidRDefault="00E15939" w:rsidP="00A31B35">
            <w:pPr>
              <w:pStyle w:val="pc"/>
              <w:rPr>
                <w:color w:val="000000" w:themeColor="text1"/>
              </w:rPr>
            </w:pPr>
            <w:r w:rsidRPr="00B235C4">
              <w:rPr>
                <w:rStyle w:val="s19"/>
                <w:color w:val="000000" w:themeColor="text1"/>
                <w:lang w:val="en"/>
              </w:rPr>
              <w:t>8</w:t>
            </w:r>
          </w:p>
        </w:tc>
      </w:tr>
      <w:tr w:rsidR="00742452" w14:paraId="46EAF8AB" w14:textId="77777777" w:rsidTr="00C12C29">
        <w:trPr>
          <w:trHeight w:val="308"/>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D1791" w14:textId="77777777" w:rsidR="00C12C29" w:rsidRPr="00B235C4" w:rsidRDefault="00E15939" w:rsidP="00C12C29">
            <w:pPr>
              <w:pStyle w:val="pc"/>
              <w:rPr>
                <w:color w:val="000000" w:themeColor="text1"/>
              </w:rPr>
            </w:pPr>
            <w:r w:rsidRPr="00B235C4">
              <w:rPr>
                <w:rStyle w:val="s19"/>
                <w:color w:val="000000" w:themeColor="text1"/>
                <w:lang w:val="en"/>
              </w:rPr>
              <w:t>1</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612DF32F" w14:textId="77777777" w:rsidR="00C12C29" w:rsidRPr="00B235C4" w:rsidRDefault="00E15939" w:rsidP="00C12C29">
            <w:pPr>
              <w:pStyle w:val="pji"/>
              <w:rPr>
                <w:color w:val="000000" w:themeColor="text1"/>
              </w:rPr>
            </w:pPr>
            <w:r w:rsidRPr="00B235C4">
              <w:rPr>
                <w:rStyle w:val="s19"/>
                <w:color w:val="000000" w:themeColor="text1"/>
                <w:lang w:val="en"/>
              </w:rPr>
              <w:t>Loans</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3AD7464A" w14:textId="77777777" w:rsidR="00C12C29" w:rsidRPr="00B235C4" w:rsidRDefault="00E15939" w:rsidP="00C12C29">
            <w:pPr>
              <w:jc w:val="right"/>
              <w:rPr>
                <w:color w:val="000000" w:themeColor="text1"/>
                <w:highlight w:val="yellow"/>
              </w:rPr>
            </w:pPr>
            <w:r>
              <w:rPr>
                <w:color w:val="000000" w:themeColor="text1"/>
                <w:lang w:val="en"/>
              </w:rPr>
              <w:t>14 236 218</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6FB05428" w14:textId="77777777" w:rsidR="00C12C29" w:rsidRPr="00B235C4" w:rsidRDefault="00E15939" w:rsidP="00C12C29">
            <w:pPr>
              <w:spacing w:line="252" w:lineRule="auto"/>
              <w:jc w:val="right"/>
              <w:rPr>
                <w:color w:val="000000" w:themeColor="text1"/>
                <w:highlight w:val="yellow"/>
              </w:rPr>
            </w:pPr>
            <w:r>
              <w:rPr>
                <w:color w:val="000000" w:themeColor="text1"/>
                <w:lang w:val="en"/>
              </w:rPr>
              <w:t>4 476 506</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A99631D" w14:textId="77777777" w:rsidR="00C12C29" w:rsidRPr="00B235C4" w:rsidRDefault="00E15939" w:rsidP="00C12C29">
            <w:pPr>
              <w:spacing w:line="252" w:lineRule="auto"/>
              <w:jc w:val="right"/>
              <w:rPr>
                <w:color w:val="000000" w:themeColor="text1"/>
                <w:highlight w:val="yellow"/>
              </w:rPr>
            </w:pPr>
            <w:r>
              <w:rPr>
                <w:color w:val="000000" w:themeColor="text1"/>
                <w:lang w:val="en"/>
              </w:rPr>
              <w:t>3 913 811 837</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497C2E9E" w14:textId="77777777" w:rsidR="00C12C29" w:rsidRPr="00B235C4" w:rsidRDefault="00E15939" w:rsidP="00C12C29">
            <w:pPr>
              <w:spacing w:line="252" w:lineRule="auto"/>
              <w:jc w:val="right"/>
              <w:rPr>
                <w:color w:val="000000" w:themeColor="text1"/>
                <w:highlight w:val="yellow"/>
              </w:rPr>
            </w:pPr>
            <w:r>
              <w:rPr>
                <w:color w:val="000000" w:themeColor="text1"/>
                <w:lang w:val="en"/>
              </w:rPr>
              <w:t>3 923 571 549</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C15507F" w14:textId="77777777" w:rsidR="00C12C29" w:rsidRPr="00B235C4" w:rsidRDefault="00E15939" w:rsidP="00C12C29">
            <w:pPr>
              <w:spacing w:line="252" w:lineRule="auto"/>
              <w:jc w:val="right"/>
              <w:rPr>
                <w:color w:val="000000" w:themeColor="text1"/>
                <w:highlight w:val="yellow"/>
              </w:rPr>
            </w:pPr>
            <w:r>
              <w:rPr>
                <w:color w:val="000000" w:themeColor="text1"/>
                <w:lang w:val="en"/>
              </w:rPr>
              <w:t>10 579 914</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18BDDD99" w14:textId="77777777" w:rsidR="00C12C29" w:rsidRPr="00B235C4" w:rsidRDefault="00E15939" w:rsidP="00C12C29">
            <w:pPr>
              <w:spacing w:line="252" w:lineRule="auto"/>
              <w:jc w:val="right"/>
              <w:rPr>
                <w:color w:val="000000" w:themeColor="text1"/>
                <w:highlight w:val="yellow"/>
              </w:rPr>
            </w:pPr>
            <w:r>
              <w:rPr>
                <w:color w:val="000000" w:themeColor="text1"/>
                <w:lang w:val="en"/>
              </w:rPr>
              <w:t>3 917 468 141</w:t>
            </w:r>
          </w:p>
        </w:tc>
      </w:tr>
      <w:tr w:rsidR="00742452" w14:paraId="0B1D46B5" w14:textId="77777777" w:rsidTr="00C12C29">
        <w:trPr>
          <w:trHeight w:val="589"/>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299E7" w14:textId="77777777" w:rsidR="00C12C29" w:rsidRPr="001305AF" w:rsidRDefault="00E15939" w:rsidP="00C12C29">
            <w:pPr>
              <w:pStyle w:val="pc"/>
              <w:rPr>
                <w:color w:val="auto"/>
              </w:rPr>
            </w:pPr>
            <w:r w:rsidRPr="001305AF">
              <w:rPr>
                <w:rStyle w:val="s19"/>
                <w:color w:val="auto"/>
                <w:lang w:val="en"/>
              </w:rPr>
              <w:t>2</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5EE70E54" w14:textId="77777777" w:rsidR="00C12C29" w:rsidRPr="001305AF" w:rsidRDefault="00E15939" w:rsidP="00C12C29">
            <w:pPr>
              <w:pStyle w:val="pji"/>
            </w:pPr>
            <w:r w:rsidRPr="001305AF">
              <w:rPr>
                <w:rStyle w:val="s19"/>
                <w:color w:val="auto"/>
                <w:lang w:val="en"/>
              </w:rPr>
              <w:t>Debt securities</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611D9D6E" w14:textId="77777777" w:rsidR="00C12C29" w:rsidRPr="001305AF" w:rsidRDefault="00E15939" w:rsidP="00C12C29">
            <w:pPr>
              <w:jc w:val="right"/>
            </w:pPr>
            <w:r w:rsidRPr="001305AF">
              <w:rPr>
                <w:lang w:val="en"/>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482D7AE6" w14:textId="77777777" w:rsidR="00C12C29" w:rsidRPr="001305AF" w:rsidRDefault="00E15939" w:rsidP="00C12C29">
            <w:pPr>
              <w:spacing w:line="252" w:lineRule="auto"/>
              <w:jc w:val="right"/>
            </w:pPr>
            <w:r w:rsidRPr="001305AF">
              <w:rPr>
                <w:lang w:val="en"/>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13D09FA6" w14:textId="77777777" w:rsidR="00C12C29" w:rsidRPr="001305AF" w:rsidRDefault="00E15939" w:rsidP="00C12C29">
            <w:pPr>
              <w:jc w:val="right"/>
            </w:pPr>
            <w:r w:rsidRPr="001305AF">
              <w:rPr>
                <w:lang w:val="en"/>
              </w:rPr>
              <w:t>341 281 722</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458971D4" w14:textId="77777777" w:rsidR="00C12C29" w:rsidRPr="001305AF" w:rsidRDefault="00E15939" w:rsidP="00C12C29">
            <w:pPr>
              <w:spacing w:line="252" w:lineRule="auto"/>
              <w:jc w:val="right"/>
            </w:pPr>
            <w:r w:rsidRPr="001305AF">
              <w:rPr>
                <w:lang w:val="en"/>
              </w:rPr>
              <w:t>-</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4E0B9A4" w14:textId="77777777" w:rsidR="00C12C29" w:rsidRPr="001305AF" w:rsidRDefault="00E15939" w:rsidP="00C12C29">
            <w:pPr>
              <w:jc w:val="right"/>
            </w:pPr>
            <w:r w:rsidRPr="001305AF">
              <w:rPr>
                <w:lang w:val="en"/>
              </w:rPr>
              <w:t>596 661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7C3EAA6E" w14:textId="77777777" w:rsidR="00C12C29" w:rsidRPr="001305AF" w:rsidRDefault="00E15939" w:rsidP="00C12C29">
            <w:pPr>
              <w:jc w:val="right"/>
            </w:pPr>
            <w:r w:rsidRPr="001305AF">
              <w:rPr>
                <w:lang w:val="en"/>
              </w:rPr>
              <w:t>340 685 061</w:t>
            </w:r>
          </w:p>
        </w:tc>
      </w:tr>
      <w:tr w:rsidR="00742452" w14:paraId="6EDCC51B" w14:textId="77777777" w:rsidTr="00C12C29">
        <w:trPr>
          <w:trHeight w:val="616"/>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E5442" w14:textId="77777777" w:rsidR="00C12C29" w:rsidRPr="00B235C4" w:rsidRDefault="00E15939" w:rsidP="00C12C29">
            <w:pPr>
              <w:pStyle w:val="pc"/>
              <w:rPr>
                <w:color w:val="000000" w:themeColor="text1"/>
              </w:rPr>
            </w:pPr>
            <w:r w:rsidRPr="00B235C4">
              <w:rPr>
                <w:rStyle w:val="s19"/>
                <w:color w:val="000000" w:themeColor="text1"/>
                <w:lang w:val="en"/>
              </w:rPr>
              <w:t>3</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75636541" w14:textId="77777777" w:rsidR="00C12C29" w:rsidRPr="001305AF" w:rsidRDefault="00E15939" w:rsidP="00C12C29">
            <w:pPr>
              <w:pStyle w:val="pji"/>
            </w:pPr>
            <w:r w:rsidRPr="001305AF">
              <w:rPr>
                <w:rStyle w:val="s19"/>
                <w:color w:val="auto"/>
                <w:lang w:val="en"/>
              </w:rPr>
              <w:t>Off-balance sheet commitments</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0130636E" w14:textId="77777777" w:rsidR="00C12C29" w:rsidRPr="001305AF" w:rsidRDefault="00E15939" w:rsidP="00C12C29">
            <w:pPr>
              <w:jc w:val="right"/>
            </w:pPr>
            <w:r w:rsidRPr="001305AF">
              <w:rPr>
                <w:lang w:val="en"/>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38632D55" w14:textId="77777777" w:rsidR="00C12C29" w:rsidRPr="001305AF" w:rsidRDefault="00E15939" w:rsidP="00C12C29">
            <w:pPr>
              <w:spacing w:line="252" w:lineRule="auto"/>
              <w:jc w:val="right"/>
            </w:pPr>
            <w:r w:rsidRPr="001305AF">
              <w:rPr>
                <w:lang w:val="en"/>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4FCEDC76" w14:textId="77777777" w:rsidR="00C12C29" w:rsidRPr="001305AF" w:rsidRDefault="00E15939" w:rsidP="00C12C29">
            <w:pPr>
              <w:jc w:val="right"/>
            </w:pPr>
            <w:r w:rsidRPr="001305AF">
              <w:rPr>
                <w:lang w:val="en"/>
              </w:rPr>
              <w:t>354 382 085</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4DEC8437" w14:textId="77777777" w:rsidR="00C12C29" w:rsidRPr="001305AF" w:rsidRDefault="00E15939" w:rsidP="00C12C29">
            <w:pPr>
              <w:spacing w:line="252" w:lineRule="auto"/>
              <w:jc w:val="right"/>
            </w:pPr>
            <w:r w:rsidRPr="001305AF">
              <w:rPr>
                <w:lang w:val="en"/>
              </w:rPr>
              <w:t>-</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5991AA9" w14:textId="77777777" w:rsidR="00C12C29" w:rsidRPr="001305AF" w:rsidRDefault="00E15939" w:rsidP="00C12C29">
            <w:pPr>
              <w:spacing w:line="252" w:lineRule="auto"/>
              <w:jc w:val="right"/>
            </w:pPr>
            <w:r w:rsidRPr="001305AF">
              <w:rPr>
                <w:lang w:val="en"/>
              </w:rPr>
              <w:t>-</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5DA06F5A" w14:textId="77777777" w:rsidR="00C12C29" w:rsidRPr="001305AF" w:rsidRDefault="00E15939" w:rsidP="00C12C29">
            <w:pPr>
              <w:spacing w:line="252" w:lineRule="auto"/>
              <w:jc w:val="right"/>
            </w:pPr>
            <w:r w:rsidRPr="001305AF">
              <w:rPr>
                <w:lang w:val="en"/>
              </w:rPr>
              <w:t>354 382 085</w:t>
            </w:r>
          </w:p>
        </w:tc>
      </w:tr>
      <w:tr w:rsidR="00742452" w14:paraId="780B432D" w14:textId="77777777" w:rsidTr="00C12C29">
        <w:trPr>
          <w:trHeight w:val="308"/>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28EDA" w14:textId="77777777" w:rsidR="00C12C29" w:rsidRPr="00ED7A95" w:rsidRDefault="00E15939" w:rsidP="00C12C29">
            <w:pPr>
              <w:pStyle w:val="pc"/>
              <w:rPr>
                <w:color w:val="000000" w:themeColor="text1"/>
              </w:rPr>
            </w:pPr>
            <w:r w:rsidRPr="00ED7A95">
              <w:rPr>
                <w:rStyle w:val="s19"/>
                <w:color w:val="000000" w:themeColor="text1"/>
                <w:lang w:val="en"/>
              </w:rPr>
              <w:t>4</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79AF065A" w14:textId="77777777" w:rsidR="00C12C29" w:rsidRPr="00ED7A95" w:rsidRDefault="00E15939" w:rsidP="00C12C29">
            <w:pPr>
              <w:pStyle w:val="pji"/>
              <w:rPr>
                <w:color w:val="000000" w:themeColor="text1"/>
              </w:rPr>
            </w:pPr>
            <w:r w:rsidRPr="00ED7A95">
              <w:rPr>
                <w:rStyle w:val="s19"/>
                <w:color w:val="000000" w:themeColor="text1"/>
                <w:lang w:val="en"/>
              </w:rPr>
              <w:t>Total:</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4A939DA3" w14:textId="77777777" w:rsidR="00C12C29" w:rsidRPr="00ED7A95" w:rsidRDefault="00E15939" w:rsidP="00C12C29">
            <w:pPr>
              <w:jc w:val="right"/>
              <w:rPr>
                <w:color w:val="000000" w:themeColor="text1"/>
              </w:rPr>
            </w:pPr>
            <w:r>
              <w:rPr>
                <w:color w:val="000000" w:themeColor="text1"/>
                <w:lang w:val="en"/>
              </w:rPr>
              <w:t>14 236 218</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1C134245" w14:textId="77777777" w:rsidR="00C12C29" w:rsidRPr="00ED7A95" w:rsidRDefault="00E15939" w:rsidP="00C12C29">
            <w:pPr>
              <w:spacing w:line="252" w:lineRule="auto"/>
              <w:jc w:val="right"/>
              <w:rPr>
                <w:color w:val="000000" w:themeColor="text1"/>
              </w:rPr>
            </w:pPr>
            <w:r>
              <w:rPr>
                <w:color w:val="000000" w:themeColor="text1"/>
                <w:lang w:val="en"/>
              </w:rPr>
              <w:t>4 476 506</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29E2128E" w14:textId="77777777" w:rsidR="00C12C29" w:rsidRPr="00ED7A95" w:rsidRDefault="00E15939" w:rsidP="00C12C29">
            <w:pPr>
              <w:spacing w:line="252" w:lineRule="auto"/>
              <w:jc w:val="right"/>
              <w:rPr>
                <w:color w:val="000000" w:themeColor="text1"/>
              </w:rPr>
            </w:pPr>
            <w:r>
              <w:rPr>
                <w:color w:val="000000" w:themeColor="text1"/>
                <w:lang w:val="en"/>
              </w:rPr>
              <w:t>4 609 475 644</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60EEA1FB" w14:textId="77777777" w:rsidR="00C12C29" w:rsidRPr="00ED7A95" w:rsidRDefault="00E15939" w:rsidP="00C12C29">
            <w:pPr>
              <w:spacing w:line="252" w:lineRule="auto"/>
              <w:jc w:val="right"/>
              <w:rPr>
                <w:color w:val="000000" w:themeColor="text1"/>
              </w:rPr>
            </w:pPr>
            <w:r>
              <w:rPr>
                <w:color w:val="000000" w:themeColor="text1"/>
                <w:lang w:val="en"/>
              </w:rPr>
              <w:t>3 923 571 549</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DC91691" w14:textId="77777777" w:rsidR="00C12C29" w:rsidRPr="00ED7A95" w:rsidRDefault="00E15939" w:rsidP="00C12C29">
            <w:pPr>
              <w:spacing w:line="252" w:lineRule="auto"/>
              <w:jc w:val="right"/>
              <w:rPr>
                <w:color w:val="000000" w:themeColor="text1"/>
              </w:rPr>
            </w:pPr>
            <w:r>
              <w:rPr>
                <w:color w:val="000000" w:themeColor="text1"/>
                <w:lang w:val="en"/>
              </w:rPr>
              <w:t>11 176 575</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6673803B" w14:textId="77777777" w:rsidR="00C12C29" w:rsidRPr="00B235C4" w:rsidRDefault="00E15939" w:rsidP="00C12C29">
            <w:pPr>
              <w:spacing w:line="252" w:lineRule="auto"/>
              <w:jc w:val="right"/>
              <w:rPr>
                <w:color w:val="000000" w:themeColor="text1"/>
              </w:rPr>
            </w:pPr>
            <w:r>
              <w:rPr>
                <w:color w:val="000000" w:themeColor="text1"/>
                <w:lang w:val="en"/>
              </w:rPr>
              <w:t>4 612 535 287</w:t>
            </w:r>
          </w:p>
        </w:tc>
      </w:tr>
    </w:tbl>
    <w:p w14:paraId="631D1D31" w14:textId="77777777" w:rsidR="00A83CD2" w:rsidRPr="00B235C4" w:rsidRDefault="00A83CD2" w:rsidP="00A83CD2">
      <w:pPr>
        <w:pStyle w:val="Normaltext"/>
        <w:rPr>
          <w:rFonts w:ascii="Times New Roman" w:hAnsi="Times New Roman" w:cs="Times New Roman"/>
        </w:rPr>
      </w:pPr>
    </w:p>
    <w:p w14:paraId="6EF5C6C7" w14:textId="77777777" w:rsidR="00577217" w:rsidRDefault="00E15939">
      <w:pPr>
        <w:spacing w:line="259" w:lineRule="auto"/>
        <w:rPr>
          <w:rFonts w:eastAsiaTheme="minorHAnsi"/>
        </w:rPr>
      </w:pPr>
      <w:r>
        <w:br w:type="page"/>
      </w:r>
    </w:p>
    <w:p w14:paraId="65D7A24C" w14:textId="77777777" w:rsidR="00AB4FAA" w:rsidRPr="00B235C4" w:rsidRDefault="00E15939" w:rsidP="00AB4FAA">
      <w:pPr>
        <w:pStyle w:val="pr"/>
        <w:rPr>
          <w:color w:val="000000" w:themeColor="text1"/>
        </w:rPr>
      </w:pPr>
      <w:r w:rsidRPr="00B235C4">
        <w:rPr>
          <w:rStyle w:val="s19"/>
          <w:color w:val="000000" w:themeColor="text1"/>
          <w:lang w:val="en"/>
        </w:rPr>
        <w:lastRenderedPageBreak/>
        <w:t>Table 2</w:t>
      </w:r>
    </w:p>
    <w:p w14:paraId="1C7A2DEE" w14:textId="77777777" w:rsidR="00AB4FAA" w:rsidRPr="00B235C4" w:rsidRDefault="00E15939" w:rsidP="00AB4FAA">
      <w:pPr>
        <w:pStyle w:val="pj"/>
        <w:rPr>
          <w:color w:val="000000" w:themeColor="text1"/>
        </w:rPr>
      </w:pPr>
      <w:r w:rsidRPr="00B235C4">
        <w:rPr>
          <w:rStyle w:val="s19"/>
          <w:color w:val="000000" w:themeColor="text1"/>
        </w:rPr>
        <w:t> </w:t>
      </w:r>
    </w:p>
    <w:p w14:paraId="1640C1A7" w14:textId="77777777" w:rsidR="00AB4FAA" w:rsidRPr="00B235C4" w:rsidRDefault="00E15939" w:rsidP="00AB4FAA">
      <w:pPr>
        <w:pStyle w:val="pc"/>
        <w:rPr>
          <w:color w:val="000000" w:themeColor="text1"/>
        </w:rPr>
      </w:pPr>
      <w:r w:rsidRPr="00B235C4">
        <w:rPr>
          <w:rStyle w:val="s19"/>
          <w:color w:val="000000" w:themeColor="text1"/>
          <w:lang w:val="en"/>
        </w:rPr>
        <w:t>Information about credit risk</w:t>
      </w:r>
    </w:p>
    <w:p w14:paraId="4D51F45E" w14:textId="77777777" w:rsidR="00AB4FAA" w:rsidRDefault="00E15939" w:rsidP="005B2ADB">
      <w:pPr>
        <w:pStyle w:val="pr"/>
        <w:jc w:val="center"/>
        <w:rPr>
          <w:rStyle w:val="s19"/>
          <w:color w:val="000000" w:themeColor="text1"/>
        </w:rPr>
      </w:pPr>
      <w:r>
        <w:rPr>
          <w:rStyle w:val="s19"/>
          <w:color w:val="000000" w:themeColor="text1"/>
          <w:lang w:val="en"/>
        </w:rPr>
        <w:t xml:space="preserve">                                                                                  </w:t>
      </w:r>
      <w:r>
        <w:rPr>
          <w:rStyle w:val="s19"/>
          <w:color w:val="000000" w:themeColor="text1"/>
          <w:lang w:val="en"/>
        </w:rPr>
        <w:tab/>
      </w:r>
      <w:r>
        <w:rPr>
          <w:rStyle w:val="s19"/>
          <w:color w:val="000000" w:themeColor="text1"/>
          <w:lang w:val="en"/>
        </w:rPr>
        <w:tab/>
      </w:r>
      <w:r>
        <w:rPr>
          <w:rStyle w:val="s19"/>
          <w:color w:val="000000" w:themeColor="text1"/>
          <w:lang w:val="en"/>
        </w:rPr>
        <w:tab/>
      </w:r>
      <w:r>
        <w:rPr>
          <w:rStyle w:val="s19"/>
          <w:color w:val="000000" w:themeColor="text1"/>
          <w:lang w:val="en"/>
        </w:rPr>
        <w:tab/>
      </w:r>
      <w:r>
        <w:rPr>
          <w:rStyle w:val="s19"/>
          <w:color w:val="000000" w:themeColor="text1"/>
          <w:lang w:val="en"/>
        </w:rPr>
        <w:tab/>
      </w:r>
      <w:r>
        <w:rPr>
          <w:rStyle w:val="s19"/>
          <w:color w:val="000000" w:themeColor="text1"/>
          <w:lang w:val="en"/>
        </w:rPr>
        <w:tab/>
      </w:r>
      <w:r>
        <w:rPr>
          <w:rStyle w:val="s19"/>
          <w:color w:val="000000" w:themeColor="text1"/>
          <w:lang w:val="en"/>
        </w:rPr>
        <w:tab/>
      </w:r>
      <w:r>
        <w:rPr>
          <w:rStyle w:val="s19"/>
          <w:color w:val="000000" w:themeColor="text1"/>
          <w:lang w:val="en"/>
        </w:rPr>
        <w:tab/>
      </w:r>
      <w:r>
        <w:rPr>
          <w:rStyle w:val="s19"/>
          <w:color w:val="000000" w:themeColor="text1"/>
          <w:lang w:val="en"/>
        </w:rPr>
        <w:tab/>
      </w:r>
      <w:r>
        <w:rPr>
          <w:rStyle w:val="s19"/>
          <w:color w:val="000000" w:themeColor="text1"/>
          <w:lang w:val="en"/>
        </w:rPr>
        <w:tab/>
      </w:r>
      <w:r>
        <w:rPr>
          <w:rStyle w:val="s19"/>
          <w:color w:val="000000" w:themeColor="text1"/>
          <w:lang w:val="en"/>
        </w:rPr>
        <w:tab/>
      </w:r>
      <w:r>
        <w:rPr>
          <w:rStyle w:val="s19"/>
          <w:color w:val="000000" w:themeColor="text1"/>
          <w:lang w:val="en"/>
        </w:rPr>
        <w:tab/>
        <w:t xml:space="preserve">           (thousand tenge)</w:t>
      </w:r>
    </w:p>
    <w:p w14:paraId="5C1885AD" w14:textId="77777777" w:rsidR="005B2ADB" w:rsidRPr="00B235C4" w:rsidRDefault="005B2ADB" w:rsidP="005B2ADB">
      <w:pPr>
        <w:pStyle w:val="pr"/>
        <w:jc w:val="center"/>
        <w:rPr>
          <w:color w:val="000000" w:themeColor="text1"/>
        </w:rPr>
      </w:pPr>
    </w:p>
    <w:tbl>
      <w:tblPr>
        <w:tblW w:w="4836" w:type="pct"/>
        <w:jc w:val="center"/>
        <w:tblLayout w:type="fixed"/>
        <w:tblCellMar>
          <w:left w:w="0" w:type="dxa"/>
          <w:right w:w="0" w:type="dxa"/>
        </w:tblCellMar>
        <w:tblLook w:val="04A0" w:firstRow="1" w:lastRow="0" w:firstColumn="1" w:lastColumn="0" w:noHBand="0" w:noVBand="1"/>
      </w:tblPr>
      <w:tblGrid>
        <w:gridCol w:w="560"/>
        <w:gridCol w:w="2791"/>
        <w:gridCol w:w="1875"/>
        <w:gridCol w:w="2568"/>
        <w:gridCol w:w="2410"/>
        <w:gridCol w:w="2546"/>
        <w:gridCol w:w="2124"/>
      </w:tblGrid>
      <w:tr w:rsidR="00742452" w:rsidRPr="00D25369" w14:paraId="6D4C24E9" w14:textId="77777777" w:rsidTr="00577217">
        <w:trPr>
          <w:jc w:val="center"/>
        </w:trPr>
        <w:tc>
          <w:tcPr>
            <w:tcW w:w="1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CD1B49" w14:textId="77777777" w:rsidR="00AB4FAA" w:rsidRPr="00B235C4" w:rsidRDefault="00E15939" w:rsidP="00A31B35">
            <w:pPr>
              <w:pStyle w:val="pc"/>
              <w:rPr>
                <w:color w:val="000000" w:themeColor="text1"/>
              </w:rPr>
            </w:pPr>
            <w:r w:rsidRPr="00B235C4">
              <w:rPr>
                <w:rStyle w:val="s19"/>
                <w:color w:val="000000" w:themeColor="text1"/>
                <w:lang w:val="en"/>
              </w:rPr>
              <w:t>№</w:t>
            </w:r>
          </w:p>
        </w:tc>
        <w:tc>
          <w:tcPr>
            <w:tcW w:w="9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9C8666" w14:textId="77777777" w:rsidR="00AB4FAA" w:rsidRPr="00B235C4" w:rsidRDefault="00E15939" w:rsidP="00A31B35">
            <w:pPr>
              <w:pStyle w:val="pc"/>
              <w:rPr>
                <w:color w:val="000000" w:themeColor="text1"/>
              </w:rPr>
            </w:pPr>
            <w:r w:rsidRPr="00B235C4">
              <w:rPr>
                <w:rStyle w:val="s19"/>
                <w:color w:val="000000" w:themeColor="text1"/>
                <w:lang w:val="en"/>
              </w:rPr>
              <w:t>Name</w:t>
            </w: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DCF0D0" w14:textId="77777777" w:rsidR="00AB4FAA" w:rsidRPr="00B235C4" w:rsidRDefault="00E15939" w:rsidP="00A31B35">
            <w:pPr>
              <w:pStyle w:val="pc"/>
              <w:rPr>
                <w:color w:val="000000" w:themeColor="text1"/>
              </w:rPr>
            </w:pPr>
            <w:r w:rsidRPr="00B235C4">
              <w:rPr>
                <w:rStyle w:val="s19"/>
                <w:color w:val="000000" w:themeColor="text1"/>
                <w:lang w:val="en"/>
              </w:rPr>
              <w:t>Total</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0F3BC4" w14:textId="77777777" w:rsidR="00AB4FAA" w:rsidRPr="00B235C4" w:rsidRDefault="00E15939" w:rsidP="00A31B35">
            <w:pPr>
              <w:pStyle w:val="pc"/>
              <w:rPr>
                <w:color w:val="000000" w:themeColor="text1"/>
              </w:rPr>
            </w:pPr>
            <w:r w:rsidRPr="00B235C4">
              <w:rPr>
                <w:rStyle w:val="s19"/>
                <w:color w:val="000000" w:themeColor="text1"/>
                <w:lang w:val="en"/>
              </w:rPr>
              <w:t>Unsecured claims</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74D718" w14:textId="77777777" w:rsidR="00AB4FAA" w:rsidRPr="00B235C4" w:rsidRDefault="00E15939" w:rsidP="00A31B35">
            <w:pPr>
              <w:pStyle w:val="pc"/>
              <w:rPr>
                <w:color w:val="000000" w:themeColor="text1"/>
              </w:rPr>
            </w:pPr>
            <w:r w:rsidRPr="00B235C4">
              <w:rPr>
                <w:rStyle w:val="s19"/>
                <w:color w:val="000000" w:themeColor="text1"/>
                <w:lang w:val="en"/>
              </w:rPr>
              <w:t>Claim secured by pledge</w:t>
            </w:r>
          </w:p>
        </w:tc>
        <w:tc>
          <w:tcPr>
            <w:tcW w:w="8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CAE87" w14:textId="77777777" w:rsidR="00AB4FAA" w:rsidRPr="00B235C4" w:rsidRDefault="00E15939" w:rsidP="00A31B35">
            <w:pPr>
              <w:pStyle w:val="pc"/>
              <w:rPr>
                <w:color w:val="000000" w:themeColor="text1"/>
              </w:rPr>
            </w:pPr>
            <w:r w:rsidRPr="00B235C4">
              <w:rPr>
                <w:rStyle w:val="s19"/>
                <w:color w:val="000000" w:themeColor="text1"/>
                <w:lang w:val="en"/>
              </w:rPr>
              <w:t>Claims secured by guarantees</w:t>
            </w:r>
          </w:p>
        </w:tc>
        <w:tc>
          <w:tcPr>
            <w:tcW w:w="7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703FCC" w14:textId="77777777" w:rsidR="00AB4FAA" w:rsidRPr="002C5554" w:rsidRDefault="00E15939" w:rsidP="00A31B35">
            <w:pPr>
              <w:pStyle w:val="pc"/>
              <w:rPr>
                <w:color w:val="000000" w:themeColor="text1"/>
                <w:lang w:val="en-US"/>
              </w:rPr>
            </w:pPr>
            <w:r w:rsidRPr="00B235C4">
              <w:rPr>
                <w:rStyle w:val="s19"/>
                <w:color w:val="000000" w:themeColor="text1"/>
                <w:lang w:val="en"/>
              </w:rPr>
              <w:t>Claims secured by derivative financial instruments</w:t>
            </w:r>
          </w:p>
        </w:tc>
      </w:tr>
      <w:tr w:rsidR="00742452" w14:paraId="78EBB920" w14:textId="77777777" w:rsidTr="00577217">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0FA81" w14:textId="77777777" w:rsidR="00AB4FAA" w:rsidRPr="00B235C4" w:rsidRDefault="00E15939" w:rsidP="00A31B35">
            <w:pPr>
              <w:pStyle w:val="pc"/>
              <w:rPr>
                <w:color w:val="000000" w:themeColor="text1"/>
              </w:rPr>
            </w:pPr>
            <w:r w:rsidRPr="00B235C4">
              <w:rPr>
                <w:rStyle w:val="s19"/>
                <w:color w:val="000000" w:themeColor="text1"/>
                <w:lang w:val="en"/>
              </w:rPr>
              <w:t>1</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7B06EF9E" w14:textId="77777777" w:rsidR="00AB4FAA" w:rsidRPr="00B235C4" w:rsidRDefault="00E15939" w:rsidP="00A31B35">
            <w:pPr>
              <w:pStyle w:val="pc"/>
              <w:rPr>
                <w:color w:val="000000" w:themeColor="text1"/>
              </w:rPr>
            </w:pPr>
            <w:r w:rsidRPr="00B235C4">
              <w:rPr>
                <w:rStyle w:val="s19"/>
                <w:color w:val="000000" w:themeColor="text1"/>
                <w:lang w:val="en"/>
              </w:rPr>
              <w:t>2</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5423688C" w14:textId="77777777" w:rsidR="00AB4FAA" w:rsidRPr="00B235C4" w:rsidRDefault="00E15939" w:rsidP="00A31B35">
            <w:pPr>
              <w:pStyle w:val="pc"/>
              <w:rPr>
                <w:color w:val="000000" w:themeColor="text1"/>
              </w:rPr>
            </w:pPr>
            <w:r w:rsidRPr="00B235C4">
              <w:rPr>
                <w:rStyle w:val="s19"/>
                <w:color w:val="000000" w:themeColor="text1"/>
                <w:lang w:val="en"/>
              </w:rPr>
              <w:t>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6D6EAF47" w14:textId="77777777" w:rsidR="00AB4FAA" w:rsidRPr="00B235C4" w:rsidRDefault="00E15939" w:rsidP="00A31B35">
            <w:pPr>
              <w:pStyle w:val="pc"/>
              <w:rPr>
                <w:color w:val="000000" w:themeColor="text1"/>
              </w:rPr>
            </w:pPr>
            <w:r w:rsidRPr="00B235C4">
              <w:rPr>
                <w:rStyle w:val="s19"/>
                <w:color w:val="000000" w:themeColor="text1"/>
                <w:lang w:val="en"/>
              </w:rPr>
              <w:t>4</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4A4730A0" w14:textId="77777777" w:rsidR="00AB4FAA" w:rsidRPr="00B235C4" w:rsidRDefault="00E15939" w:rsidP="00A31B35">
            <w:pPr>
              <w:pStyle w:val="pc"/>
              <w:rPr>
                <w:color w:val="000000" w:themeColor="text1"/>
              </w:rPr>
            </w:pPr>
            <w:r w:rsidRPr="00B235C4">
              <w:rPr>
                <w:rStyle w:val="s19"/>
                <w:color w:val="000000" w:themeColor="text1"/>
                <w:lang w:val="en"/>
              </w:rPr>
              <w:t>5</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28215174" w14:textId="77777777" w:rsidR="00AB4FAA" w:rsidRPr="00B235C4" w:rsidRDefault="00E15939" w:rsidP="00A31B35">
            <w:pPr>
              <w:pStyle w:val="pc"/>
              <w:rPr>
                <w:color w:val="000000" w:themeColor="text1"/>
              </w:rPr>
            </w:pPr>
            <w:r w:rsidRPr="00B235C4">
              <w:rPr>
                <w:rStyle w:val="s19"/>
                <w:color w:val="000000" w:themeColor="text1"/>
                <w:lang w:val="en"/>
              </w:rPr>
              <w:t>6</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213E9520" w14:textId="77777777" w:rsidR="00AB4FAA" w:rsidRPr="00B235C4" w:rsidRDefault="00E15939" w:rsidP="00A31B35">
            <w:pPr>
              <w:pStyle w:val="pc"/>
              <w:rPr>
                <w:color w:val="000000" w:themeColor="text1"/>
              </w:rPr>
            </w:pPr>
            <w:r w:rsidRPr="00B235C4">
              <w:rPr>
                <w:rStyle w:val="s19"/>
                <w:color w:val="000000" w:themeColor="text1"/>
                <w:lang w:val="en"/>
              </w:rPr>
              <w:t>7</w:t>
            </w:r>
          </w:p>
        </w:tc>
      </w:tr>
      <w:tr w:rsidR="00742452" w14:paraId="618E3540" w14:textId="77777777" w:rsidTr="00577217">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9EBED" w14:textId="77777777" w:rsidR="00C12C29" w:rsidRPr="00B235C4" w:rsidRDefault="00E15939" w:rsidP="00C12C29">
            <w:pPr>
              <w:pStyle w:val="pc"/>
              <w:rPr>
                <w:color w:val="000000" w:themeColor="text1"/>
              </w:rPr>
            </w:pPr>
            <w:r w:rsidRPr="00B235C4">
              <w:rPr>
                <w:rStyle w:val="s19"/>
                <w:color w:val="000000" w:themeColor="text1"/>
                <w:lang w:val="en"/>
              </w:rPr>
              <w:t>1</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114C9AC6" w14:textId="77777777" w:rsidR="00C12C29" w:rsidRPr="00B235C4" w:rsidRDefault="00E15939" w:rsidP="00C12C29">
            <w:pPr>
              <w:pStyle w:val="pji"/>
              <w:rPr>
                <w:color w:val="000000" w:themeColor="text1"/>
              </w:rPr>
            </w:pPr>
            <w:r w:rsidRPr="00B235C4">
              <w:rPr>
                <w:rStyle w:val="s19"/>
                <w:color w:val="000000" w:themeColor="text1"/>
                <w:lang w:val="en"/>
              </w:rPr>
              <w:t>Loans</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42DA4FD5" w14:textId="77777777" w:rsidR="00C12C29" w:rsidRPr="00B235C4" w:rsidRDefault="00E15939" w:rsidP="00C12C29">
            <w:pPr>
              <w:jc w:val="right"/>
              <w:rPr>
                <w:color w:val="000000" w:themeColor="text1"/>
              </w:rPr>
            </w:pPr>
            <w:r>
              <w:rPr>
                <w:color w:val="000000" w:themeColor="text1"/>
                <w:lang w:val="en"/>
              </w:rPr>
              <w:t>3 917 468 141</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4C35772B" w14:textId="77777777" w:rsidR="00C12C29" w:rsidRPr="00B235C4" w:rsidRDefault="00E15939" w:rsidP="00C12C29">
            <w:pPr>
              <w:spacing w:line="252" w:lineRule="auto"/>
              <w:jc w:val="right"/>
              <w:rPr>
                <w:color w:val="000000" w:themeColor="text1"/>
              </w:rPr>
            </w:pPr>
            <w:r>
              <w:rPr>
                <w:color w:val="000000" w:themeColor="text1"/>
                <w:lang w:val="en"/>
              </w:rPr>
              <w:t>23 687</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3A298FD4" w14:textId="77777777" w:rsidR="00C12C29" w:rsidRPr="00B235C4" w:rsidRDefault="00E15939" w:rsidP="00C12C29">
            <w:pPr>
              <w:spacing w:line="252" w:lineRule="auto"/>
              <w:jc w:val="right"/>
              <w:rPr>
                <w:color w:val="000000" w:themeColor="text1"/>
              </w:rPr>
            </w:pPr>
            <w:r>
              <w:rPr>
                <w:color w:val="000000" w:themeColor="text1"/>
                <w:lang w:val="en"/>
              </w:rPr>
              <w:t>3 915 801 294</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677F7E5F" w14:textId="77777777" w:rsidR="00C12C29" w:rsidRPr="00B235C4" w:rsidRDefault="00E15939" w:rsidP="00C12C29">
            <w:pPr>
              <w:spacing w:line="252" w:lineRule="auto"/>
              <w:jc w:val="right"/>
              <w:rPr>
                <w:color w:val="000000" w:themeColor="text1"/>
              </w:rPr>
            </w:pPr>
            <w:r>
              <w:rPr>
                <w:color w:val="000000" w:themeColor="text1"/>
                <w:lang w:val="en"/>
              </w:rPr>
              <w:t>1 643 160</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211FF1DB" w14:textId="77777777" w:rsidR="00C12C29" w:rsidRPr="00B235C4" w:rsidRDefault="00E15939" w:rsidP="00C12C29">
            <w:pPr>
              <w:spacing w:line="252" w:lineRule="auto"/>
              <w:jc w:val="right"/>
              <w:rPr>
                <w:color w:val="000000" w:themeColor="text1"/>
              </w:rPr>
            </w:pPr>
            <w:r>
              <w:rPr>
                <w:color w:val="000000" w:themeColor="text1"/>
                <w:lang w:val="en"/>
              </w:rPr>
              <w:t>0</w:t>
            </w:r>
          </w:p>
        </w:tc>
      </w:tr>
      <w:tr w:rsidR="00742452" w14:paraId="3E4D78EF" w14:textId="77777777" w:rsidTr="00577217">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DB829" w14:textId="77777777" w:rsidR="00C12C29" w:rsidRPr="00B235C4" w:rsidRDefault="00E15939" w:rsidP="00C12C29">
            <w:pPr>
              <w:pStyle w:val="pc"/>
              <w:rPr>
                <w:color w:val="000000" w:themeColor="text1"/>
              </w:rPr>
            </w:pPr>
            <w:r w:rsidRPr="00B235C4">
              <w:rPr>
                <w:rStyle w:val="s19"/>
                <w:color w:val="000000" w:themeColor="text1"/>
                <w:lang w:val="en"/>
              </w:rPr>
              <w:t>2</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68AEC38D" w14:textId="77777777" w:rsidR="00C12C29" w:rsidRPr="001305AF" w:rsidRDefault="00E15939" w:rsidP="00C12C29">
            <w:pPr>
              <w:pStyle w:val="pji"/>
            </w:pPr>
            <w:r w:rsidRPr="001305AF">
              <w:rPr>
                <w:rStyle w:val="s19"/>
                <w:color w:val="auto"/>
                <w:lang w:val="en"/>
              </w:rPr>
              <w:t>Debt securities</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1390DD14" w14:textId="77777777" w:rsidR="00C12C29" w:rsidRPr="002F0F8F" w:rsidRDefault="00E15939" w:rsidP="00C12C29">
            <w:pPr>
              <w:jc w:val="right"/>
            </w:pPr>
            <w:r w:rsidRPr="00BB3668">
              <w:rPr>
                <w:lang w:val="en"/>
              </w:rPr>
              <w:t>341 281 722</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77E0E79" w14:textId="77777777" w:rsidR="00C12C29" w:rsidRPr="002F0F8F" w:rsidRDefault="00E15939" w:rsidP="00C12C29">
            <w:pPr>
              <w:spacing w:line="252" w:lineRule="auto"/>
              <w:jc w:val="right"/>
            </w:pPr>
            <w:r w:rsidRPr="00BB3668">
              <w:rPr>
                <w:lang w:val="en"/>
              </w:rPr>
              <w:t>341 281 722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79FE195C" w14:textId="77777777" w:rsidR="00C12C29" w:rsidRPr="002F0F8F" w:rsidRDefault="00E15939" w:rsidP="00C12C29">
            <w:pPr>
              <w:spacing w:line="252" w:lineRule="auto"/>
              <w:jc w:val="right"/>
            </w:pPr>
            <w:r w:rsidRPr="002F0F8F">
              <w:rPr>
                <w:lang w:val="en"/>
              </w:rPr>
              <w:t>0</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241FE3B9" w14:textId="77777777" w:rsidR="00C12C29" w:rsidRPr="002F0F8F" w:rsidRDefault="00E15939" w:rsidP="00C12C29">
            <w:pPr>
              <w:spacing w:line="252" w:lineRule="auto"/>
              <w:jc w:val="right"/>
            </w:pPr>
            <w:r w:rsidRPr="002F0F8F">
              <w:rPr>
                <w:lang w:val="en"/>
              </w:rPr>
              <w:t>0</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766FE913" w14:textId="77777777" w:rsidR="00C12C29" w:rsidRPr="002F0F8F" w:rsidRDefault="00E15939" w:rsidP="00C12C29">
            <w:pPr>
              <w:spacing w:line="252" w:lineRule="auto"/>
              <w:jc w:val="right"/>
            </w:pPr>
            <w:r w:rsidRPr="002F0F8F">
              <w:rPr>
                <w:lang w:val="en"/>
              </w:rPr>
              <w:t>0</w:t>
            </w:r>
          </w:p>
        </w:tc>
      </w:tr>
      <w:tr w:rsidR="00742452" w14:paraId="20A64534" w14:textId="77777777" w:rsidTr="00577217">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54C8E" w14:textId="77777777" w:rsidR="00C12C29" w:rsidRPr="00ED7A95" w:rsidRDefault="00E15939" w:rsidP="00C12C29">
            <w:pPr>
              <w:pStyle w:val="pc"/>
              <w:rPr>
                <w:color w:val="000000" w:themeColor="text1"/>
              </w:rPr>
            </w:pPr>
            <w:r w:rsidRPr="00ED7A95">
              <w:rPr>
                <w:rStyle w:val="s19"/>
                <w:color w:val="000000" w:themeColor="text1"/>
                <w:lang w:val="en"/>
              </w:rPr>
              <w:t>3</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5AF6B45B" w14:textId="77777777" w:rsidR="00C12C29" w:rsidRPr="00ED7A95" w:rsidRDefault="00E15939" w:rsidP="00C12C29">
            <w:pPr>
              <w:pStyle w:val="pji"/>
              <w:rPr>
                <w:color w:val="000000" w:themeColor="text1"/>
              </w:rPr>
            </w:pPr>
            <w:r w:rsidRPr="00ED7A95">
              <w:rPr>
                <w:rStyle w:val="s19"/>
                <w:color w:val="000000" w:themeColor="text1"/>
                <w:lang w:val="en"/>
              </w:rPr>
              <w:t>Total of these:</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4571FFEB" w14:textId="77777777" w:rsidR="00C12C29" w:rsidRPr="00ED7A95" w:rsidRDefault="00E15939" w:rsidP="00C12C29">
            <w:pPr>
              <w:jc w:val="right"/>
              <w:rPr>
                <w:color w:val="000000" w:themeColor="text1"/>
              </w:rPr>
            </w:pPr>
            <w:r>
              <w:rPr>
                <w:color w:val="000000" w:themeColor="text1"/>
                <w:lang w:val="en"/>
              </w:rPr>
              <w:t>4 258 749 863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4173B3B0" w14:textId="77777777" w:rsidR="00C12C29" w:rsidRPr="00ED7A95" w:rsidRDefault="00E15939" w:rsidP="00C12C29">
            <w:pPr>
              <w:spacing w:line="252" w:lineRule="auto"/>
              <w:jc w:val="right"/>
              <w:rPr>
                <w:color w:val="000000" w:themeColor="text1"/>
              </w:rPr>
            </w:pPr>
            <w:r>
              <w:rPr>
                <w:color w:val="000000" w:themeColor="text1"/>
                <w:lang w:val="en"/>
              </w:rPr>
              <w:t>341 305 409</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0EC12E33" w14:textId="77777777" w:rsidR="00C12C29" w:rsidRPr="00ED7A95" w:rsidRDefault="00E15939" w:rsidP="00C12C29">
            <w:pPr>
              <w:spacing w:line="252" w:lineRule="auto"/>
              <w:jc w:val="right"/>
              <w:rPr>
                <w:color w:val="000000" w:themeColor="text1"/>
              </w:rPr>
            </w:pPr>
            <w:r>
              <w:rPr>
                <w:color w:val="000000" w:themeColor="text1"/>
                <w:lang w:val="en"/>
              </w:rPr>
              <w:t>3 915 801 294</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2416040A" w14:textId="77777777" w:rsidR="00C12C29" w:rsidRPr="002F0F8F" w:rsidRDefault="00E15939" w:rsidP="00C12C29">
            <w:pPr>
              <w:spacing w:line="252" w:lineRule="auto"/>
              <w:jc w:val="right"/>
              <w:rPr>
                <w:color w:val="000000" w:themeColor="text1"/>
              </w:rPr>
            </w:pPr>
            <w:r>
              <w:rPr>
                <w:color w:val="000000" w:themeColor="text1"/>
                <w:lang w:val="en"/>
              </w:rPr>
              <w:t>1 643 160</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7BA5BF3B" w14:textId="77777777" w:rsidR="00C12C29" w:rsidRPr="00B235C4" w:rsidRDefault="00E15939" w:rsidP="00C12C29">
            <w:pPr>
              <w:spacing w:line="252" w:lineRule="auto"/>
              <w:jc w:val="right"/>
              <w:rPr>
                <w:color w:val="000000" w:themeColor="text1"/>
              </w:rPr>
            </w:pPr>
            <w:r w:rsidRPr="00ED7A95">
              <w:rPr>
                <w:color w:val="000000" w:themeColor="text1"/>
                <w:lang w:val="en"/>
              </w:rPr>
              <w:t>0</w:t>
            </w:r>
          </w:p>
        </w:tc>
      </w:tr>
      <w:tr w:rsidR="00742452" w14:paraId="42E4BE6E" w14:textId="77777777" w:rsidTr="00577217">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99EA7" w14:textId="77777777" w:rsidR="00C12C29" w:rsidRPr="00B235C4" w:rsidRDefault="00E15939" w:rsidP="00C12C29">
            <w:pPr>
              <w:pStyle w:val="pc"/>
              <w:rPr>
                <w:color w:val="000000" w:themeColor="text1"/>
              </w:rPr>
            </w:pPr>
            <w:r w:rsidRPr="00B235C4">
              <w:rPr>
                <w:rStyle w:val="s19"/>
                <w:color w:val="000000" w:themeColor="text1"/>
                <w:lang w:val="en"/>
              </w:rPr>
              <w:t>4</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5D084070" w14:textId="77777777" w:rsidR="00C12C29" w:rsidRPr="00B235C4" w:rsidRDefault="00E15939" w:rsidP="00C12C29">
            <w:pPr>
              <w:pStyle w:val="pji"/>
              <w:rPr>
                <w:color w:val="000000" w:themeColor="text1"/>
              </w:rPr>
            </w:pPr>
            <w:r w:rsidRPr="00B235C4">
              <w:rPr>
                <w:rStyle w:val="s19"/>
                <w:color w:val="000000" w:themeColor="text1"/>
                <w:lang w:val="en"/>
              </w:rPr>
              <w:t>Claims in default</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209CE560" w14:textId="77777777" w:rsidR="00C12C29" w:rsidRPr="00B235C4" w:rsidRDefault="00E15939" w:rsidP="00C12C29">
            <w:pPr>
              <w:jc w:val="right"/>
              <w:rPr>
                <w:color w:val="000000" w:themeColor="text1"/>
              </w:rPr>
            </w:pPr>
            <w:r>
              <w:rPr>
                <w:color w:val="000000" w:themeColor="text1"/>
                <w:lang w:val="en"/>
              </w:rPr>
              <w:t>8 738 670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E1861CD" w14:textId="77777777" w:rsidR="00C12C29" w:rsidRPr="00B235C4" w:rsidRDefault="00E15939" w:rsidP="00C12C29">
            <w:pPr>
              <w:spacing w:line="252" w:lineRule="auto"/>
              <w:jc w:val="right"/>
              <w:rPr>
                <w:color w:val="000000" w:themeColor="text1"/>
              </w:rPr>
            </w:pPr>
            <w:r>
              <w:rPr>
                <w:color w:val="000000" w:themeColor="text1"/>
                <w:lang w:val="en"/>
              </w:rPr>
              <w:t>0</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486CCBB7" w14:textId="77777777" w:rsidR="00C12C29" w:rsidRPr="00B235C4" w:rsidRDefault="00E15939" w:rsidP="00C12C29">
            <w:pPr>
              <w:spacing w:line="252" w:lineRule="auto"/>
              <w:jc w:val="right"/>
              <w:rPr>
                <w:color w:val="000000" w:themeColor="text1"/>
              </w:rPr>
            </w:pPr>
            <w:r>
              <w:rPr>
                <w:color w:val="000000" w:themeColor="text1"/>
                <w:lang w:val="en"/>
              </w:rPr>
              <w:t>8 738 670</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10D007F2" w14:textId="77777777" w:rsidR="00C12C29" w:rsidRPr="00B235C4" w:rsidRDefault="00E15939" w:rsidP="00C12C29">
            <w:pPr>
              <w:spacing w:line="252" w:lineRule="auto"/>
              <w:jc w:val="right"/>
              <w:rPr>
                <w:color w:val="000000" w:themeColor="text1"/>
              </w:rPr>
            </w:pPr>
            <w:r>
              <w:rPr>
                <w:color w:val="000000" w:themeColor="text1"/>
                <w:lang w:val="en"/>
              </w:rPr>
              <w:t>0</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17CD87F0" w14:textId="77777777" w:rsidR="00C12C29" w:rsidRPr="00B235C4" w:rsidRDefault="00E15939" w:rsidP="00C12C29">
            <w:pPr>
              <w:spacing w:line="252" w:lineRule="auto"/>
              <w:jc w:val="right"/>
              <w:rPr>
                <w:color w:val="000000" w:themeColor="text1"/>
              </w:rPr>
            </w:pPr>
            <w:r>
              <w:rPr>
                <w:color w:val="000000" w:themeColor="text1"/>
                <w:lang w:val="en"/>
              </w:rPr>
              <w:t>0</w:t>
            </w:r>
          </w:p>
        </w:tc>
      </w:tr>
    </w:tbl>
    <w:p w14:paraId="5C6A5D4C" w14:textId="77777777" w:rsidR="00AB4FAA" w:rsidRDefault="00AB4FAA" w:rsidP="00A83CD2">
      <w:pPr>
        <w:pStyle w:val="Normaltext"/>
        <w:rPr>
          <w:rFonts w:ascii="Times New Roman" w:hAnsi="Times New Roman" w:cs="Times New Roman"/>
        </w:rPr>
      </w:pPr>
    </w:p>
    <w:p w14:paraId="778A168E" w14:textId="77777777" w:rsidR="003550AD" w:rsidRDefault="003550AD" w:rsidP="00A83CD2">
      <w:pPr>
        <w:pStyle w:val="Normaltext"/>
        <w:rPr>
          <w:rFonts w:ascii="Times New Roman" w:hAnsi="Times New Roman" w:cs="Times New Roman"/>
        </w:rPr>
      </w:pPr>
    </w:p>
    <w:bookmarkEnd w:id="2"/>
    <w:p w14:paraId="07903FA6" w14:textId="77777777" w:rsidR="003550AD" w:rsidRPr="00B235C4" w:rsidRDefault="003550AD" w:rsidP="00A83CD2">
      <w:pPr>
        <w:pStyle w:val="Normaltext"/>
        <w:rPr>
          <w:rFonts w:ascii="Times New Roman" w:hAnsi="Times New Roman" w:cs="Times New Roman"/>
        </w:rPr>
      </w:pPr>
    </w:p>
    <w:sectPr w:rsidR="003550AD" w:rsidRPr="00B235C4" w:rsidSect="00577217">
      <w:pgSz w:w="16838" w:h="11906" w:orient="landscape" w:code="9"/>
      <w:pgMar w:top="1276" w:right="720" w:bottom="1134" w:left="720" w:header="284" w:footer="573" w:gutter="0"/>
      <w:cols w:space="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6984A" w14:textId="77777777" w:rsidR="00E15939" w:rsidRDefault="00E15939">
      <w:r>
        <w:separator/>
      </w:r>
    </w:p>
  </w:endnote>
  <w:endnote w:type="continuationSeparator" w:id="0">
    <w:p w14:paraId="704F81B1" w14:textId="77777777" w:rsidR="00E15939" w:rsidRDefault="00E1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OpenSymbol">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Swiss Light 10p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nivers 45 Light">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EYInterstate Light">
    <w:altName w:val="Times New Roman"/>
    <w:charset w:val="CC"/>
    <w:family w:val="auto"/>
    <w:pitch w:val="variable"/>
    <w:sig w:usb0="00000001" w:usb1="5000206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EY Gothic Comp Book">
    <w:altName w:val="Franklin Gothic Medium Cond"/>
    <w:charset w:val="00"/>
    <w:family w:val="auto"/>
    <w:pitch w:val="variable"/>
    <w:sig w:usb0="800000A7" w:usb1="00000040" w:usb2="00000000" w:usb3="00000000" w:csb0="00000009" w:csb1="00000000"/>
  </w:font>
  <w:font w:name="EYInterstate">
    <w:altName w:val="Corbel"/>
    <w:charset w:val="CC"/>
    <w:family w:val="auto"/>
    <w:pitch w:val="variable"/>
    <w:sig w:usb0="A00002BF" w:usb1="5000206B" w:usb2="00000000" w:usb3="00000000" w:csb0="0000009F" w:csb1="00000000"/>
  </w:font>
  <w:font w:name="TimesNewRomanPSMT">
    <w:altName w:val="MS Gothic"/>
    <w:panose1 w:val="00000000000000000000"/>
    <w:charset w:val="00"/>
    <w:family w:val="roman"/>
    <w:notTrueType/>
    <w:pitch w:val="default"/>
  </w:font>
  <w:font w:name="Liberation Mon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21185"/>
      <w:docPartObj>
        <w:docPartGallery w:val="Page Numbers (Bottom of Page)"/>
        <w:docPartUnique/>
      </w:docPartObj>
    </w:sdtPr>
    <w:sdtEndPr>
      <w:rPr>
        <w:rFonts w:ascii="Candara" w:hAnsi="Candara"/>
      </w:rPr>
    </w:sdtEndPr>
    <w:sdtContent>
      <w:p w14:paraId="5F5B75C4" w14:textId="77777777" w:rsidR="004955E6" w:rsidRDefault="00E15939" w:rsidP="00DC2E03">
        <w:pPr>
          <w:pStyle w:val="a8"/>
          <w:jc w:val="center"/>
        </w:pPr>
        <w:r w:rsidRPr="00F05D16">
          <w:rPr>
            <w:rFonts w:ascii="Candara" w:hAnsi="Candara"/>
          </w:rPr>
          <w:fldChar w:fldCharType="begin"/>
        </w:r>
        <w:r w:rsidRPr="00F05D16">
          <w:rPr>
            <w:rFonts w:ascii="Candara" w:hAnsi="Candara" w:cs="Times New Roman"/>
          </w:rPr>
          <w:instrText>PAGE   \* MERGEFORMAT</w:instrText>
        </w:r>
        <w:r w:rsidRPr="00F05D16">
          <w:rPr>
            <w:rFonts w:ascii="Candara" w:hAnsi="Candara"/>
          </w:rPr>
          <w:fldChar w:fldCharType="separate"/>
        </w:r>
        <w:r w:rsidR="002306DE">
          <w:rPr>
            <w:rFonts w:ascii="Candara" w:hAnsi="Candara" w:cs="Times New Roman"/>
            <w:noProof/>
          </w:rPr>
          <w:t>24</w:t>
        </w:r>
        <w:r w:rsidRPr="00F05D16">
          <w:rPr>
            <w:rFonts w:ascii="Candara" w:hAnsi="Candar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94CB" w14:textId="77777777" w:rsidR="00E15939" w:rsidRDefault="00E15939">
      <w:r>
        <w:separator/>
      </w:r>
    </w:p>
  </w:footnote>
  <w:footnote w:type="continuationSeparator" w:id="0">
    <w:p w14:paraId="6F643C19" w14:textId="77777777" w:rsidR="00E15939" w:rsidRDefault="00E15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993" w:type="dxa"/>
      <w:tblLayout w:type="fixed"/>
      <w:tblLook w:val="04A0" w:firstRow="1" w:lastRow="0" w:firstColumn="1" w:lastColumn="0" w:noHBand="0" w:noVBand="1"/>
    </w:tblPr>
    <w:tblGrid>
      <w:gridCol w:w="4253"/>
      <w:gridCol w:w="2835"/>
      <w:gridCol w:w="4253"/>
    </w:tblGrid>
    <w:tr w:rsidR="00742452" w14:paraId="756C8159" w14:textId="77777777" w:rsidTr="00D349F8">
      <w:tc>
        <w:tcPr>
          <w:tcW w:w="4253" w:type="dxa"/>
          <w:vAlign w:val="center"/>
        </w:tcPr>
        <w:p w14:paraId="7DE4C175" w14:textId="77777777" w:rsidR="004955E6" w:rsidRPr="00E42CC7" w:rsidRDefault="00E15939" w:rsidP="00887303">
          <w:pPr>
            <w:jc w:val="center"/>
            <w:rPr>
              <w:szCs w:val="18"/>
              <w:lang w:val="kk-KZ"/>
            </w:rPr>
          </w:pPr>
          <w:r>
            <w:rPr>
              <w:szCs w:val="18"/>
              <w:lang w:val="en"/>
            </w:rPr>
            <w:t>"ОТБАСЫ БАНК" АҚ</w:t>
          </w:r>
        </w:p>
      </w:tc>
      <w:tc>
        <w:tcPr>
          <w:tcW w:w="2835" w:type="dxa"/>
          <w:vAlign w:val="center"/>
        </w:tcPr>
        <w:p w14:paraId="4BDE94EC" w14:textId="77777777" w:rsidR="004955E6" w:rsidRPr="00E42CC7" w:rsidRDefault="00E15939" w:rsidP="00F3644B">
          <w:pPr>
            <w:ind w:left="-108" w:firstLine="108"/>
            <w:jc w:val="center"/>
            <w:rPr>
              <w:szCs w:val="18"/>
              <w:lang w:val="kk-KZ"/>
            </w:rPr>
          </w:pPr>
          <w:r w:rsidRPr="00950029">
            <w:rPr>
              <w:noProof/>
              <w:lang w:eastAsia="ru-RU"/>
            </w:rPr>
            <w:drawing>
              <wp:inline distT="0" distB="0" distL="0" distR="0" wp14:anchorId="09D7C9FC" wp14:editId="366C76A1">
                <wp:extent cx="1095375" cy="491465"/>
                <wp:effectExtent l="0" t="0" r="0" b="4445"/>
                <wp:docPr id="4" name="Рисунок 10" descr="C:\Users\ast.iklasova.g\AppData\Local\Microsoft\Windows\INetCache\Content.Outlook\FSK3ZQW2\LOGO_OTBASY 1.png"/>
                <wp:cNvGraphicFramePr/>
                <a:graphic xmlns:a="http://schemas.openxmlformats.org/drawingml/2006/main">
                  <a:graphicData uri="http://schemas.openxmlformats.org/drawingml/2006/picture">
                    <pic:pic xmlns:pic="http://schemas.openxmlformats.org/drawingml/2006/picture">
                      <pic:nvPicPr>
                        <pic:cNvPr id="4" name="Рисунок 10" descr="C:\Users\ast.iklasova.g\AppData\Local\Microsoft\Windows\INetCache\Content.Outlook\FSK3ZQW2\LOGO_OTBASY 1.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5375" cy="491465"/>
                        </a:xfrm>
                        <a:prstGeom prst="rect">
                          <a:avLst/>
                        </a:prstGeom>
                        <a:noFill/>
                        <a:ln>
                          <a:noFill/>
                        </a:ln>
                      </pic:spPr>
                    </pic:pic>
                  </a:graphicData>
                </a:graphic>
              </wp:inline>
            </w:drawing>
          </w:r>
        </w:p>
      </w:tc>
      <w:tc>
        <w:tcPr>
          <w:tcW w:w="4253" w:type="dxa"/>
          <w:vAlign w:val="center"/>
        </w:tcPr>
        <w:p w14:paraId="3503FF78" w14:textId="77777777" w:rsidR="004955E6" w:rsidRPr="00E42CC7" w:rsidRDefault="00E15939" w:rsidP="00887303">
          <w:pPr>
            <w:jc w:val="center"/>
            <w:rPr>
              <w:szCs w:val="18"/>
            </w:rPr>
          </w:pPr>
          <w:r w:rsidRPr="00E42CC7">
            <w:rPr>
              <w:szCs w:val="18"/>
              <w:lang w:val="en"/>
            </w:rPr>
            <w:t>OTBASY BANK JSC</w:t>
          </w:r>
        </w:p>
      </w:tc>
    </w:tr>
  </w:tbl>
  <w:p w14:paraId="5EAB1C9B" w14:textId="77777777" w:rsidR="004955E6" w:rsidRDefault="00E15939" w:rsidP="00261413">
    <w:pPr>
      <w:pStyle w:val="a6"/>
      <w:tabs>
        <w:tab w:val="clear" w:pos="4677"/>
        <w:tab w:val="clear" w:pos="9355"/>
        <w:tab w:val="left" w:pos="9132"/>
        <w:tab w:val="left" w:pos="10425"/>
      </w:tabs>
    </w:pPr>
    <w:r>
      <w:rPr>
        <w:noProof/>
        <w:lang w:eastAsia="ru-RU"/>
      </w:rPr>
      <mc:AlternateContent>
        <mc:Choice Requires="wps">
          <w:drawing>
            <wp:anchor distT="0" distB="0" distL="114300" distR="114300" simplePos="0" relativeHeight="251658240" behindDoc="0" locked="0" layoutInCell="1" allowOverlap="1" wp14:anchorId="7A0FCD29" wp14:editId="4B3E9375">
              <wp:simplePos x="0" y="0"/>
              <wp:positionH relativeFrom="page">
                <wp:align>left</wp:align>
              </wp:positionH>
              <wp:positionV relativeFrom="paragraph">
                <wp:posOffset>82550</wp:posOffset>
              </wp:positionV>
              <wp:extent cx="7496175" cy="19050"/>
              <wp:effectExtent l="19050" t="19050" r="28575" b="19050"/>
              <wp:wrapNone/>
              <wp:docPr id="124" name="Прямая соединительная линия 124"/>
              <wp:cNvGraphicFramePr/>
              <a:graphic xmlns:a="http://schemas.openxmlformats.org/drawingml/2006/main">
                <a:graphicData uri="http://schemas.microsoft.com/office/word/2010/wordprocessingShape">
                  <wps:wsp>
                    <wps:cNvCnPr/>
                    <wps:spPr>
                      <a:xfrm>
                        <a:off x="0" y="0"/>
                        <a:ext cx="7496175" cy="19050"/>
                      </a:xfrm>
                      <a:prstGeom prst="line">
                        <a:avLst/>
                      </a:prstGeom>
                      <a:ln w="34925">
                        <a:solidFill>
                          <a:srgbClr val="08B1BE"/>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24" o:spid="_x0000_s2049" style="mso-height-percent:0;mso-height-relative:margin;mso-position-horizontal:left;mso-position-horizontal-relative:page;mso-width-percent:0;mso-width-relative:margin;mso-wrap-distance-bottom:0;mso-wrap-distance-left:9pt;mso-wrap-distance-right:9pt;mso-wrap-distance-top:0;mso-wrap-style:square;position:absolute;visibility:visible;z-index:251659264" from="0,6.5pt" to="590.25pt,8pt" strokecolor="#08b1be" strokeweight="2.75pt">
              <v:stroke joinstyle="miter"/>
            </v:line>
          </w:pict>
        </mc:Fallback>
      </mc:AlternateContent>
    </w:r>
    <w:r>
      <w:rPr>
        <w:noProof/>
        <w:lang w:eastAsia="ru-RU"/>
      </w:rPr>
      <mc:AlternateContent>
        <mc:Choice Requires="wps">
          <w:drawing>
            <wp:anchor distT="0" distB="0" distL="114300" distR="114300" simplePos="0" relativeHeight="251660288" behindDoc="0" locked="0" layoutInCell="1" allowOverlap="1" wp14:anchorId="3AABC932" wp14:editId="6B5246E6">
              <wp:simplePos x="0" y="0"/>
              <wp:positionH relativeFrom="page">
                <wp:align>left</wp:align>
              </wp:positionH>
              <wp:positionV relativeFrom="paragraph">
                <wp:posOffset>40005</wp:posOffset>
              </wp:positionV>
              <wp:extent cx="7534275" cy="19050"/>
              <wp:effectExtent l="0" t="0" r="28575" b="19050"/>
              <wp:wrapNone/>
              <wp:docPr id="125" name="Прямая соединительная линия 125"/>
              <wp:cNvGraphicFramePr/>
              <a:graphic xmlns:a="http://schemas.openxmlformats.org/drawingml/2006/main">
                <a:graphicData uri="http://schemas.microsoft.com/office/word/2010/wordprocessingShape">
                  <wps:wsp>
                    <wps:cNvCnPr/>
                    <wps:spPr>
                      <a:xfrm>
                        <a:off x="0" y="0"/>
                        <a:ext cx="7534275" cy="19050"/>
                      </a:xfrm>
                      <a:prstGeom prst="line">
                        <a:avLst/>
                      </a:prstGeom>
                      <a:noFill/>
                      <a:ln w="19050">
                        <a:solidFill>
                          <a:srgbClr val="4472C4">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25" o:spid="_x0000_s2050" style="mso-height-percent:0;mso-height-relative:margin;mso-position-horizontal:left;mso-position-horizontal-relative:page;mso-width-percent:0;mso-width-relative:margin;mso-wrap-distance-bottom:0;mso-wrap-distance-left:9pt;mso-wrap-distance-right:9pt;mso-wrap-distance-top:0;mso-wrap-style:square;position:absolute;visibility:visible;z-index:251661312" from="0,3.15pt" to="593.25pt,4.65pt" strokecolor="#2f5597" strokeweight="1.5pt">
              <v:stroke joinstyle="miter"/>
            </v:lin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3969"/>
      <w:gridCol w:w="2268"/>
      <w:gridCol w:w="3119"/>
    </w:tblGrid>
    <w:tr w:rsidR="00742452" w14:paraId="6ABD9C33" w14:textId="77777777" w:rsidTr="00EC74E6">
      <w:tc>
        <w:tcPr>
          <w:tcW w:w="3969" w:type="dxa"/>
          <w:vAlign w:val="center"/>
        </w:tcPr>
        <w:p w14:paraId="708061D5" w14:textId="77777777" w:rsidR="004955E6" w:rsidRPr="00E42CC7" w:rsidRDefault="00E15939" w:rsidP="00D06CA4">
          <w:pPr>
            <w:jc w:val="center"/>
            <w:rPr>
              <w:szCs w:val="18"/>
              <w:lang w:val="kk-KZ"/>
            </w:rPr>
          </w:pPr>
          <w:r>
            <w:rPr>
              <w:szCs w:val="18"/>
              <w:lang w:val="en"/>
            </w:rPr>
            <w:t>"ОТБАСЫ БАНК" АҚ</w:t>
          </w:r>
        </w:p>
      </w:tc>
      <w:tc>
        <w:tcPr>
          <w:tcW w:w="2268" w:type="dxa"/>
          <w:vAlign w:val="center"/>
        </w:tcPr>
        <w:p w14:paraId="083624D7" w14:textId="77777777" w:rsidR="004955E6" w:rsidRPr="00E42CC7" w:rsidRDefault="00E15939" w:rsidP="00EC74E6">
          <w:pPr>
            <w:ind w:left="-108" w:firstLine="108"/>
            <w:jc w:val="center"/>
            <w:rPr>
              <w:szCs w:val="18"/>
              <w:lang w:val="kk-KZ"/>
            </w:rPr>
          </w:pPr>
          <w:r w:rsidRPr="00950029">
            <w:rPr>
              <w:noProof/>
              <w:lang w:eastAsia="ru-RU"/>
            </w:rPr>
            <w:drawing>
              <wp:inline distT="0" distB="0" distL="0" distR="0" wp14:anchorId="4E76C730" wp14:editId="3DC449FD">
                <wp:extent cx="1094015" cy="347980"/>
                <wp:effectExtent l="0" t="0" r="0" b="0"/>
                <wp:docPr id="6" name="Рисунок 10" descr="C:\Users\ast.iklasova.g\AppData\Local\Microsoft\Windows\INetCache\Content.Outlook\FSK3ZQW2\LOGO_OTBASY 1.png"/>
                <wp:cNvGraphicFramePr/>
                <a:graphic xmlns:a="http://schemas.openxmlformats.org/drawingml/2006/main">
                  <a:graphicData uri="http://schemas.openxmlformats.org/drawingml/2006/picture">
                    <pic:pic xmlns:pic="http://schemas.openxmlformats.org/drawingml/2006/picture">
                      <pic:nvPicPr>
                        <pic:cNvPr id="6" name="Рисунок 10" descr="C:\Users\ast.iklasova.g\AppData\Local\Microsoft\Windows\INetCache\Content.Outlook\FSK3ZQW2\LOGO_OTBASY 1.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8654" cy="349456"/>
                        </a:xfrm>
                        <a:prstGeom prst="rect">
                          <a:avLst/>
                        </a:prstGeom>
                        <a:noFill/>
                        <a:ln>
                          <a:noFill/>
                        </a:ln>
                      </pic:spPr>
                    </pic:pic>
                  </a:graphicData>
                </a:graphic>
              </wp:inline>
            </w:drawing>
          </w:r>
        </w:p>
      </w:tc>
      <w:tc>
        <w:tcPr>
          <w:tcW w:w="3119" w:type="dxa"/>
          <w:vAlign w:val="center"/>
        </w:tcPr>
        <w:p w14:paraId="202FF458" w14:textId="77777777" w:rsidR="004955E6" w:rsidRPr="00E42CC7" w:rsidRDefault="00E15939" w:rsidP="00D06CA4">
          <w:pPr>
            <w:jc w:val="center"/>
            <w:rPr>
              <w:szCs w:val="18"/>
            </w:rPr>
          </w:pPr>
          <w:r w:rsidRPr="00E42CC7">
            <w:rPr>
              <w:szCs w:val="18"/>
              <w:lang w:val="en"/>
            </w:rPr>
            <w:t>OTBASY BANK JSC</w:t>
          </w:r>
        </w:p>
      </w:tc>
    </w:tr>
  </w:tbl>
  <w:p w14:paraId="071E2E44" w14:textId="77777777" w:rsidR="004955E6" w:rsidRDefault="004955E6" w:rsidP="0005203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ADEA38A"/>
    <w:lvl w:ilvl="0">
      <w:start w:val="1"/>
      <w:numFmt w:val="decimal"/>
      <w:pStyle w:val="BodySingle"/>
      <w:lvlText w:val="%1."/>
      <w:lvlJc w:val="left"/>
      <w:pPr>
        <w:tabs>
          <w:tab w:val="num" w:pos="926"/>
        </w:tabs>
        <w:ind w:left="926" w:hanging="360"/>
      </w:pPr>
    </w:lvl>
  </w:abstractNum>
  <w:abstractNum w:abstractNumId="1" w15:restartNumberingAfterBreak="0">
    <w:nsid w:val="04026740"/>
    <w:multiLevelType w:val="hybridMultilevel"/>
    <w:tmpl w:val="99CCBB0A"/>
    <w:lvl w:ilvl="0" w:tplc="54500EC2">
      <w:start w:val="1"/>
      <w:numFmt w:val="bullet"/>
      <w:lvlText w:val=""/>
      <w:lvlJc w:val="left"/>
      <w:pPr>
        <w:ind w:left="1429" w:hanging="360"/>
      </w:pPr>
      <w:rPr>
        <w:rFonts w:ascii="Symbol" w:hAnsi="Symbol" w:hint="default"/>
      </w:rPr>
    </w:lvl>
    <w:lvl w:ilvl="1" w:tplc="7FE4AA96" w:tentative="1">
      <w:start w:val="1"/>
      <w:numFmt w:val="bullet"/>
      <w:lvlText w:val="o"/>
      <w:lvlJc w:val="left"/>
      <w:pPr>
        <w:ind w:left="2149" w:hanging="360"/>
      </w:pPr>
      <w:rPr>
        <w:rFonts w:ascii="Courier New" w:hAnsi="Courier New" w:cs="Courier New" w:hint="default"/>
      </w:rPr>
    </w:lvl>
    <w:lvl w:ilvl="2" w:tplc="D08069A0" w:tentative="1">
      <w:start w:val="1"/>
      <w:numFmt w:val="bullet"/>
      <w:lvlText w:val=""/>
      <w:lvlJc w:val="left"/>
      <w:pPr>
        <w:ind w:left="2869" w:hanging="360"/>
      </w:pPr>
      <w:rPr>
        <w:rFonts w:ascii="Wingdings" w:hAnsi="Wingdings" w:hint="default"/>
      </w:rPr>
    </w:lvl>
    <w:lvl w:ilvl="3" w:tplc="BFFA851C" w:tentative="1">
      <w:start w:val="1"/>
      <w:numFmt w:val="bullet"/>
      <w:lvlText w:val=""/>
      <w:lvlJc w:val="left"/>
      <w:pPr>
        <w:ind w:left="3589" w:hanging="360"/>
      </w:pPr>
      <w:rPr>
        <w:rFonts w:ascii="Symbol" w:hAnsi="Symbol" w:hint="default"/>
      </w:rPr>
    </w:lvl>
    <w:lvl w:ilvl="4" w:tplc="E76CBB58" w:tentative="1">
      <w:start w:val="1"/>
      <w:numFmt w:val="bullet"/>
      <w:lvlText w:val="o"/>
      <w:lvlJc w:val="left"/>
      <w:pPr>
        <w:ind w:left="4309" w:hanging="360"/>
      </w:pPr>
      <w:rPr>
        <w:rFonts w:ascii="Courier New" w:hAnsi="Courier New" w:cs="Courier New" w:hint="default"/>
      </w:rPr>
    </w:lvl>
    <w:lvl w:ilvl="5" w:tplc="AB78ADA6" w:tentative="1">
      <w:start w:val="1"/>
      <w:numFmt w:val="bullet"/>
      <w:lvlText w:val=""/>
      <w:lvlJc w:val="left"/>
      <w:pPr>
        <w:ind w:left="5029" w:hanging="360"/>
      </w:pPr>
      <w:rPr>
        <w:rFonts w:ascii="Wingdings" w:hAnsi="Wingdings" w:hint="default"/>
      </w:rPr>
    </w:lvl>
    <w:lvl w:ilvl="6" w:tplc="28247534" w:tentative="1">
      <w:start w:val="1"/>
      <w:numFmt w:val="bullet"/>
      <w:lvlText w:val=""/>
      <w:lvlJc w:val="left"/>
      <w:pPr>
        <w:ind w:left="5749" w:hanging="360"/>
      </w:pPr>
      <w:rPr>
        <w:rFonts w:ascii="Symbol" w:hAnsi="Symbol" w:hint="default"/>
      </w:rPr>
    </w:lvl>
    <w:lvl w:ilvl="7" w:tplc="E8C2FFE6" w:tentative="1">
      <w:start w:val="1"/>
      <w:numFmt w:val="bullet"/>
      <w:lvlText w:val="o"/>
      <w:lvlJc w:val="left"/>
      <w:pPr>
        <w:ind w:left="6469" w:hanging="360"/>
      </w:pPr>
      <w:rPr>
        <w:rFonts w:ascii="Courier New" w:hAnsi="Courier New" w:cs="Courier New" w:hint="default"/>
      </w:rPr>
    </w:lvl>
    <w:lvl w:ilvl="8" w:tplc="DFD0EF92" w:tentative="1">
      <w:start w:val="1"/>
      <w:numFmt w:val="bullet"/>
      <w:lvlText w:val=""/>
      <w:lvlJc w:val="left"/>
      <w:pPr>
        <w:ind w:left="7189" w:hanging="360"/>
      </w:pPr>
      <w:rPr>
        <w:rFonts w:ascii="Wingdings" w:hAnsi="Wingdings" w:hint="default"/>
      </w:rPr>
    </w:lvl>
  </w:abstractNum>
  <w:abstractNum w:abstractNumId="2" w15:restartNumberingAfterBreak="0">
    <w:nsid w:val="08E26E50"/>
    <w:multiLevelType w:val="hybridMultilevel"/>
    <w:tmpl w:val="BFA46700"/>
    <w:lvl w:ilvl="0" w:tplc="95D0E028">
      <w:start w:val="1"/>
      <w:numFmt w:val="bullet"/>
      <w:lvlText w:val=""/>
      <w:lvlJc w:val="left"/>
      <w:pPr>
        <w:ind w:left="720" w:hanging="360"/>
      </w:pPr>
      <w:rPr>
        <w:rFonts w:ascii="Symbol" w:hAnsi="Symbol" w:hint="default"/>
      </w:rPr>
    </w:lvl>
    <w:lvl w:ilvl="1" w:tplc="FD30C584" w:tentative="1">
      <w:start w:val="1"/>
      <w:numFmt w:val="bullet"/>
      <w:lvlText w:val="o"/>
      <w:lvlJc w:val="left"/>
      <w:pPr>
        <w:ind w:left="1440" w:hanging="360"/>
      </w:pPr>
      <w:rPr>
        <w:rFonts w:ascii="Courier New" w:hAnsi="Courier New" w:cs="Courier New" w:hint="default"/>
      </w:rPr>
    </w:lvl>
    <w:lvl w:ilvl="2" w:tplc="D11A9296" w:tentative="1">
      <w:start w:val="1"/>
      <w:numFmt w:val="bullet"/>
      <w:lvlText w:val=""/>
      <w:lvlJc w:val="left"/>
      <w:pPr>
        <w:ind w:left="2160" w:hanging="360"/>
      </w:pPr>
      <w:rPr>
        <w:rFonts w:ascii="Wingdings" w:hAnsi="Wingdings" w:hint="default"/>
      </w:rPr>
    </w:lvl>
    <w:lvl w:ilvl="3" w:tplc="294EFC3A">
      <w:start w:val="1"/>
      <w:numFmt w:val="bullet"/>
      <w:lvlText w:val=""/>
      <w:lvlJc w:val="left"/>
      <w:pPr>
        <w:ind w:left="2880" w:hanging="360"/>
      </w:pPr>
      <w:rPr>
        <w:rFonts w:ascii="Symbol" w:hAnsi="Symbol" w:hint="default"/>
      </w:rPr>
    </w:lvl>
    <w:lvl w:ilvl="4" w:tplc="F47AA7C6" w:tentative="1">
      <w:start w:val="1"/>
      <w:numFmt w:val="bullet"/>
      <w:lvlText w:val="o"/>
      <w:lvlJc w:val="left"/>
      <w:pPr>
        <w:ind w:left="3600" w:hanging="360"/>
      </w:pPr>
      <w:rPr>
        <w:rFonts w:ascii="Courier New" w:hAnsi="Courier New" w:cs="Courier New" w:hint="default"/>
      </w:rPr>
    </w:lvl>
    <w:lvl w:ilvl="5" w:tplc="C0087206" w:tentative="1">
      <w:start w:val="1"/>
      <w:numFmt w:val="bullet"/>
      <w:lvlText w:val=""/>
      <w:lvlJc w:val="left"/>
      <w:pPr>
        <w:ind w:left="4320" w:hanging="360"/>
      </w:pPr>
      <w:rPr>
        <w:rFonts w:ascii="Wingdings" w:hAnsi="Wingdings" w:hint="default"/>
      </w:rPr>
    </w:lvl>
    <w:lvl w:ilvl="6" w:tplc="B9E62992" w:tentative="1">
      <w:start w:val="1"/>
      <w:numFmt w:val="bullet"/>
      <w:lvlText w:val=""/>
      <w:lvlJc w:val="left"/>
      <w:pPr>
        <w:ind w:left="5040" w:hanging="360"/>
      </w:pPr>
      <w:rPr>
        <w:rFonts w:ascii="Symbol" w:hAnsi="Symbol" w:hint="default"/>
      </w:rPr>
    </w:lvl>
    <w:lvl w:ilvl="7" w:tplc="51CA44AA" w:tentative="1">
      <w:start w:val="1"/>
      <w:numFmt w:val="bullet"/>
      <w:lvlText w:val="o"/>
      <w:lvlJc w:val="left"/>
      <w:pPr>
        <w:ind w:left="5760" w:hanging="360"/>
      </w:pPr>
      <w:rPr>
        <w:rFonts w:ascii="Courier New" w:hAnsi="Courier New" w:cs="Courier New" w:hint="default"/>
      </w:rPr>
    </w:lvl>
    <w:lvl w:ilvl="8" w:tplc="ACEEAF0E" w:tentative="1">
      <w:start w:val="1"/>
      <w:numFmt w:val="bullet"/>
      <w:lvlText w:val=""/>
      <w:lvlJc w:val="left"/>
      <w:pPr>
        <w:ind w:left="6480" w:hanging="360"/>
      </w:pPr>
      <w:rPr>
        <w:rFonts w:ascii="Wingdings" w:hAnsi="Wingdings" w:hint="default"/>
      </w:rPr>
    </w:lvl>
  </w:abstractNum>
  <w:abstractNum w:abstractNumId="3" w15:restartNumberingAfterBreak="0">
    <w:nsid w:val="0DFA6819"/>
    <w:multiLevelType w:val="hybridMultilevel"/>
    <w:tmpl w:val="E0245186"/>
    <w:lvl w:ilvl="0" w:tplc="AE9E5E28">
      <w:start w:val="1"/>
      <w:numFmt w:val="decimal"/>
      <w:lvlText w:val="%1)"/>
      <w:lvlJc w:val="left"/>
      <w:pPr>
        <w:tabs>
          <w:tab w:val="num" w:pos="1040"/>
        </w:tabs>
        <w:ind w:left="1020" w:hanging="340"/>
      </w:pPr>
      <w:rPr>
        <w:rFonts w:hint="default"/>
        <w:b w:val="0"/>
        <w:i w:val="0"/>
        <w:color w:val="auto"/>
      </w:rPr>
    </w:lvl>
    <w:lvl w:ilvl="1" w:tplc="A45E429E">
      <w:start w:val="1"/>
      <w:numFmt w:val="bullet"/>
      <w:lvlText w:val=""/>
      <w:lvlJc w:val="left"/>
      <w:pPr>
        <w:tabs>
          <w:tab w:val="num" w:pos="2120"/>
        </w:tabs>
        <w:ind w:left="2120" w:hanging="360"/>
      </w:pPr>
      <w:rPr>
        <w:rFonts w:ascii="Symbol" w:hAnsi="Symbol" w:hint="default"/>
      </w:rPr>
    </w:lvl>
    <w:lvl w:ilvl="2" w:tplc="26DA0234">
      <w:start w:val="1"/>
      <w:numFmt w:val="bullet"/>
      <w:lvlText w:val=""/>
      <w:lvlJc w:val="left"/>
      <w:pPr>
        <w:tabs>
          <w:tab w:val="num" w:pos="2840"/>
        </w:tabs>
        <w:ind w:left="2840" w:hanging="360"/>
      </w:pPr>
      <w:rPr>
        <w:rFonts w:ascii="Wingdings" w:hAnsi="Wingdings" w:hint="default"/>
      </w:rPr>
    </w:lvl>
    <w:lvl w:ilvl="3" w:tplc="EB269E86">
      <w:start w:val="129"/>
      <w:numFmt w:val="decimal"/>
      <w:lvlText w:val="%4"/>
      <w:lvlJc w:val="left"/>
      <w:pPr>
        <w:ind w:left="3560" w:hanging="360"/>
      </w:pPr>
      <w:rPr>
        <w:rFonts w:hint="default"/>
      </w:rPr>
    </w:lvl>
    <w:lvl w:ilvl="4" w:tplc="2C0AD5FE" w:tentative="1">
      <w:start w:val="1"/>
      <w:numFmt w:val="bullet"/>
      <w:lvlText w:val="o"/>
      <w:lvlJc w:val="left"/>
      <w:pPr>
        <w:tabs>
          <w:tab w:val="num" w:pos="4280"/>
        </w:tabs>
        <w:ind w:left="4280" w:hanging="360"/>
      </w:pPr>
      <w:rPr>
        <w:rFonts w:ascii="Courier New" w:hAnsi="Courier New" w:hint="default"/>
      </w:rPr>
    </w:lvl>
    <w:lvl w:ilvl="5" w:tplc="08BC5A00" w:tentative="1">
      <w:start w:val="1"/>
      <w:numFmt w:val="bullet"/>
      <w:lvlText w:val=""/>
      <w:lvlJc w:val="left"/>
      <w:pPr>
        <w:tabs>
          <w:tab w:val="num" w:pos="5000"/>
        </w:tabs>
        <w:ind w:left="5000" w:hanging="360"/>
      </w:pPr>
      <w:rPr>
        <w:rFonts w:ascii="Wingdings" w:hAnsi="Wingdings" w:hint="default"/>
      </w:rPr>
    </w:lvl>
    <w:lvl w:ilvl="6" w:tplc="40FA1730" w:tentative="1">
      <w:start w:val="1"/>
      <w:numFmt w:val="bullet"/>
      <w:lvlText w:val=""/>
      <w:lvlJc w:val="left"/>
      <w:pPr>
        <w:tabs>
          <w:tab w:val="num" w:pos="5720"/>
        </w:tabs>
        <w:ind w:left="5720" w:hanging="360"/>
      </w:pPr>
      <w:rPr>
        <w:rFonts w:ascii="Symbol" w:hAnsi="Symbol" w:hint="default"/>
      </w:rPr>
    </w:lvl>
    <w:lvl w:ilvl="7" w:tplc="CB4E07B4" w:tentative="1">
      <w:start w:val="1"/>
      <w:numFmt w:val="bullet"/>
      <w:lvlText w:val="o"/>
      <w:lvlJc w:val="left"/>
      <w:pPr>
        <w:tabs>
          <w:tab w:val="num" w:pos="6440"/>
        </w:tabs>
        <w:ind w:left="6440" w:hanging="360"/>
      </w:pPr>
      <w:rPr>
        <w:rFonts w:ascii="Courier New" w:hAnsi="Courier New" w:hint="default"/>
      </w:rPr>
    </w:lvl>
    <w:lvl w:ilvl="8" w:tplc="042EBF9C" w:tentative="1">
      <w:start w:val="1"/>
      <w:numFmt w:val="bullet"/>
      <w:lvlText w:val=""/>
      <w:lvlJc w:val="left"/>
      <w:pPr>
        <w:tabs>
          <w:tab w:val="num" w:pos="7160"/>
        </w:tabs>
        <w:ind w:left="7160" w:hanging="360"/>
      </w:pPr>
      <w:rPr>
        <w:rFonts w:ascii="Wingdings" w:hAnsi="Wingdings" w:hint="default"/>
      </w:rPr>
    </w:lvl>
  </w:abstractNum>
  <w:abstractNum w:abstractNumId="4" w15:restartNumberingAfterBreak="0">
    <w:nsid w:val="10722666"/>
    <w:multiLevelType w:val="hybridMultilevel"/>
    <w:tmpl w:val="C24448DE"/>
    <w:lvl w:ilvl="0" w:tplc="DFA8DD14">
      <w:start w:val="1"/>
      <w:numFmt w:val="decimal"/>
      <w:lvlText w:val="%1)"/>
      <w:lvlJc w:val="left"/>
      <w:pPr>
        <w:ind w:left="1287" w:hanging="360"/>
      </w:pPr>
    </w:lvl>
    <w:lvl w:ilvl="1" w:tplc="CE6CBA96" w:tentative="1">
      <w:start w:val="1"/>
      <w:numFmt w:val="lowerLetter"/>
      <w:lvlText w:val="%2."/>
      <w:lvlJc w:val="left"/>
      <w:pPr>
        <w:ind w:left="2007" w:hanging="360"/>
      </w:pPr>
    </w:lvl>
    <w:lvl w:ilvl="2" w:tplc="B3DCAC2A" w:tentative="1">
      <w:start w:val="1"/>
      <w:numFmt w:val="lowerRoman"/>
      <w:lvlText w:val="%3."/>
      <w:lvlJc w:val="right"/>
      <w:pPr>
        <w:ind w:left="2727" w:hanging="180"/>
      </w:pPr>
    </w:lvl>
    <w:lvl w:ilvl="3" w:tplc="7662FA4C" w:tentative="1">
      <w:start w:val="1"/>
      <w:numFmt w:val="decimal"/>
      <w:lvlText w:val="%4."/>
      <w:lvlJc w:val="left"/>
      <w:pPr>
        <w:ind w:left="3447" w:hanging="360"/>
      </w:pPr>
    </w:lvl>
    <w:lvl w:ilvl="4" w:tplc="FAE0F0B2" w:tentative="1">
      <w:start w:val="1"/>
      <w:numFmt w:val="lowerLetter"/>
      <w:lvlText w:val="%5."/>
      <w:lvlJc w:val="left"/>
      <w:pPr>
        <w:ind w:left="4167" w:hanging="360"/>
      </w:pPr>
    </w:lvl>
    <w:lvl w:ilvl="5" w:tplc="7F1A7182" w:tentative="1">
      <w:start w:val="1"/>
      <w:numFmt w:val="lowerRoman"/>
      <w:lvlText w:val="%6."/>
      <w:lvlJc w:val="right"/>
      <w:pPr>
        <w:ind w:left="4887" w:hanging="180"/>
      </w:pPr>
    </w:lvl>
    <w:lvl w:ilvl="6" w:tplc="11ECEC2A" w:tentative="1">
      <w:start w:val="1"/>
      <w:numFmt w:val="decimal"/>
      <w:lvlText w:val="%7."/>
      <w:lvlJc w:val="left"/>
      <w:pPr>
        <w:ind w:left="5607" w:hanging="360"/>
      </w:pPr>
    </w:lvl>
    <w:lvl w:ilvl="7" w:tplc="B91C2060" w:tentative="1">
      <w:start w:val="1"/>
      <w:numFmt w:val="lowerLetter"/>
      <w:lvlText w:val="%8."/>
      <w:lvlJc w:val="left"/>
      <w:pPr>
        <w:ind w:left="6327" w:hanging="360"/>
      </w:pPr>
    </w:lvl>
    <w:lvl w:ilvl="8" w:tplc="7442A5C8" w:tentative="1">
      <w:start w:val="1"/>
      <w:numFmt w:val="lowerRoman"/>
      <w:lvlText w:val="%9."/>
      <w:lvlJc w:val="right"/>
      <w:pPr>
        <w:ind w:left="7047" w:hanging="180"/>
      </w:pPr>
    </w:lvl>
  </w:abstractNum>
  <w:abstractNum w:abstractNumId="5" w15:restartNumberingAfterBreak="0">
    <w:nsid w:val="12283DE5"/>
    <w:multiLevelType w:val="hybridMultilevel"/>
    <w:tmpl w:val="71AAFC40"/>
    <w:lvl w:ilvl="0" w:tplc="B82E49CA">
      <w:start w:val="1"/>
      <w:numFmt w:val="decimal"/>
      <w:pStyle w:val="Style11"/>
      <w:lvlText w:val="%1."/>
      <w:lvlJc w:val="left"/>
      <w:pPr>
        <w:ind w:left="927" w:hanging="360"/>
      </w:pPr>
      <w:rPr>
        <w:rFonts w:cs="Times New Roman" w:hint="default"/>
      </w:rPr>
    </w:lvl>
    <w:lvl w:ilvl="1" w:tplc="5EE87EF6" w:tentative="1">
      <w:start w:val="1"/>
      <w:numFmt w:val="lowerLetter"/>
      <w:lvlText w:val="%2."/>
      <w:lvlJc w:val="left"/>
      <w:pPr>
        <w:ind w:left="1647" w:hanging="360"/>
      </w:pPr>
    </w:lvl>
    <w:lvl w:ilvl="2" w:tplc="24B6DE88" w:tentative="1">
      <w:start w:val="1"/>
      <w:numFmt w:val="lowerRoman"/>
      <w:lvlText w:val="%3."/>
      <w:lvlJc w:val="right"/>
      <w:pPr>
        <w:ind w:left="2367" w:hanging="180"/>
      </w:pPr>
    </w:lvl>
    <w:lvl w:ilvl="3" w:tplc="AA12210E" w:tentative="1">
      <w:start w:val="1"/>
      <w:numFmt w:val="decimal"/>
      <w:lvlText w:val="%4."/>
      <w:lvlJc w:val="left"/>
      <w:pPr>
        <w:ind w:left="3087" w:hanging="360"/>
      </w:pPr>
    </w:lvl>
    <w:lvl w:ilvl="4" w:tplc="90B4B228" w:tentative="1">
      <w:start w:val="1"/>
      <w:numFmt w:val="lowerLetter"/>
      <w:lvlText w:val="%5."/>
      <w:lvlJc w:val="left"/>
      <w:pPr>
        <w:ind w:left="3807" w:hanging="360"/>
      </w:pPr>
    </w:lvl>
    <w:lvl w:ilvl="5" w:tplc="5AD89270" w:tentative="1">
      <w:start w:val="1"/>
      <w:numFmt w:val="lowerRoman"/>
      <w:lvlText w:val="%6."/>
      <w:lvlJc w:val="right"/>
      <w:pPr>
        <w:ind w:left="4527" w:hanging="180"/>
      </w:pPr>
    </w:lvl>
    <w:lvl w:ilvl="6" w:tplc="63701704" w:tentative="1">
      <w:start w:val="1"/>
      <w:numFmt w:val="decimal"/>
      <w:lvlText w:val="%7."/>
      <w:lvlJc w:val="left"/>
      <w:pPr>
        <w:ind w:left="5247" w:hanging="360"/>
      </w:pPr>
    </w:lvl>
    <w:lvl w:ilvl="7" w:tplc="655E673E" w:tentative="1">
      <w:start w:val="1"/>
      <w:numFmt w:val="lowerLetter"/>
      <w:lvlText w:val="%8."/>
      <w:lvlJc w:val="left"/>
      <w:pPr>
        <w:ind w:left="5967" w:hanging="360"/>
      </w:pPr>
    </w:lvl>
    <w:lvl w:ilvl="8" w:tplc="502C3FB4" w:tentative="1">
      <w:start w:val="1"/>
      <w:numFmt w:val="lowerRoman"/>
      <w:lvlText w:val="%9."/>
      <w:lvlJc w:val="right"/>
      <w:pPr>
        <w:ind w:left="6687" w:hanging="180"/>
      </w:pPr>
    </w:lvl>
  </w:abstractNum>
  <w:abstractNum w:abstractNumId="6" w15:restartNumberingAfterBreak="0">
    <w:nsid w:val="14484C2F"/>
    <w:multiLevelType w:val="hybridMultilevel"/>
    <w:tmpl w:val="C570E2F8"/>
    <w:lvl w:ilvl="0" w:tplc="2228E3D2">
      <w:start w:val="1"/>
      <w:numFmt w:val="bullet"/>
      <w:lvlText w:val=""/>
      <w:lvlJc w:val="left"/>
      <w:pPr>
        <w:ind w:left="1429" w:hanging="360"/>
      </w:pPr>
      <w:rPr>
        <w:rFonts w:ascii="Symbol" w:hAnsi="Symbol" w:hint="default"/>
      </w:rPr>
    </w:lvl>
    <w:lvl w:ilvl="1" w:tplc="7254A06A" w:tentative="1">
      <w:start w:val="1"/>
      <w:numFmt w:val="bullet"/>
      <w:lvlText w:val="o"/>
      <w:lvlJc w:val="left"/>
      <w:pPr>
        <w:ind w:left="2149" w:hanging="360"/>
      </w:pPr>
      <w:rPr>
        <w:rFonts w:ascii="Courier New" w:hAnsi="Courier New" w:cs="Courier New" w:hint="default"/>
      </w:rPr>
    </w:lvl>
    <w:lvl w:ilvl="2" w:tplc="85C8C87E" w:tentative="1">
      <w:start w:val="1"/>
      <w:numFmt w:val="bullet"/>
      <w:lvlText w:val=""/>
      <w:lvlJc w:val="left"/>
      <w:pPr>
        <w:ind w:left="2869" w:hanging="360"/>
      </w:pPr>
      <w:rPr>
        <w:rFonts w:ascii="Wingdings" w:hAnsi="Wingdings" w:hint="default"/>
      </w:rPr>
    </w:lvl>
    <w:lvl w:ilvl="3" w:tplc="43D0FC0C" w:tentative="1">
      <w:start w:val="1"/>
      <w:numFmt w:val="bullet"/>
      <w:lvlText w:val=""/>
      <w:lvlJc w:val="left"/>
      <w:pPr>
        <w:ind w:left="3589" w:hanging="360"/>
      </w:pPr>
      <w:rPr>
        <w:rFonts w:ascii="Symbol" w:hAnsi="Symbol" w:hint="default"/>
      </w:rPr>
    </w:lvl>
    <w:lvl w:ilvl="4" w:tplc="F7064E44" w:tentative="1">
      <w:start w:val="1"/>
      <w:numFmt w:val="bullet"/>
      <w:lvlText w:val="o"/>
      <w:lvlJc w:val="left"/>
      <w:pPr>
        <w:ind w:left="4309" w:hanging="360"/>
      </w:pPr>
      <w:rPr>
        <w:rFonts w:ascii="Courier New" w:hAnsi="Courier New" w:cs="Courier New" w:hint="default"/>
      </w:rPr>
    </w:lvl>
    <w:lvl w:ilvl="5" w:tplc="FD46231A" w:tentative="1">
      <w:start w:val="1"/>
      <w:numFmt w:val="bullet"/>
      <w:lvlText w:val=""/>
      <w:lvlJc w:val="left"/>
      <w:pPr>
        <w:ind w:left="5029" w:hanging="360"/>
      </w:pPr>
      <w:rPr>
        <w:rFonts w:ascii="Wingdings" w:hAnsi="Wingdings" w:hint="default"/>
      </w:rPr>
    </w:lvl>
    <w:lvl w:ilvl="6" w:tplc="061E2110" w:tentative="1">
      <w:start w:val="1"/>
      <w:numFmt w:val="bullet"/>
      <w:lvlText w:val=""/>
      <w:lvlJc w:val="left"/>
      <w:pPr>
        <w:ind w:left="5749" w:hanging="360"/>
      </w:pPr>
      <w:rPr>
        <w:rFonts w:ascii="Symbol" w:hAnsi="Symbol" w:hint="default"/>
      </w:rPr>
    </w:lvl>
    <w:lvl w:ilvl="7" w:tplc="B940850A" w:tentative="1">
      <w:start w:val="1"/>
      <w:numFmt w:val="bullet"/>
      <w:lvlText w:val="o"/>
      <w:lvlJc w:val="left"/>
      <w:pPr>
        <w:ind w:left="6469" w:hanging="360"/>
      </w:pPr>
      <w:rPr>
        <w:rFonts w:ascii="Courier New" w:hAnsi="Courier New" w:cs="Courier New" w:hint="default"/>
      </w:rPr>
    </w:lvl>
    <w:lvl w:ilvl="8" w:tplc="5C84A252" w:tentative="1">
      <w:start w:val="1"/>
      <w:numFmt w:val="bullet"/>
      <w:lvlText w:val=""/>
      <w:lvlJc w:val="left"/>
      <w:pPr>
        <w:ind w:left="7189" w:hanging="360"/>
      </w:pPr>
      <w:rPr>
        <w:rFonts w:ascii="Wingdings" w:hAnsi="Wingdings" w:hint="default"/>
      </w:rPr>
    </w:lvl>
  </w:abstractNum>
  <w:abstractNum w:abstractNumId="7" w15:restartNumberingAfterBreak="0">
    <w:nsid w:val="15DA0D53"/>
    <w:multiLevelType w:val="multilevel"/>
    <w:tmpl w:val="3F586F1A"/>
    <w:lvl w:ilvl="0">
      <w:start w:val="1"/>
      <w:numFmt w:val="decimal"/>
      <w:suff w:val="space"/>
      <w:lvlText w:val="%1)"/>
      <w:lvlJc w:val="left"/>
      <w:pPr>
        <w:ind w:left="1069" w:hanging="360"/>
      </w:pPr>
      <w:rPr>
        <w:rFonts w:hint="default"/>
        <w:sz w:val="24"/>
        <w:szCs w:val="28"/>
        <w:lang w:val="kk-KZ" w:eastAsia="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67D6E10"/>
    <w:multiLevelType w:val="hybridMultilevel"/>
    <w:tmpl w:val="5B3217CE"/>
    <w:lvl w:ilvl="0" w:tplc="9E26AF3C">
      <w:start w:val="1"/>
      <w:numFmt w:val="bullet"/>
      <w:lvlText w:val=""/>
      <w:lvlJc w:val="left"/>
      <w:pPr>
        <w:ind w:left="2205" w:hanging="360"/>
      </w:pPr>
      <w:rPr>
        <w:rFonts w:ascii="Symbol" w:hAnsi="Symbol" w:hint="default"/>
      </w:rPr>
    </w:lvl>
    <w:lvl w:ilvl="1" w:tplc="0F661166" w:tentative="1">
      <w:start w:val="1"/>
      <w:numFmt w:val="bullet"/>
      <w:lvlText w:val="o"/>
      <w:lvlJc w:val="left"/>
      <w:pPr>
        <w:ind w:left="2925" w:hanging="360"/>
      </w:pPr>
      <w:rPr>
        <w:rFonts w:ascii="Courier New" w:hAnsi="Courier New" w:cs="Courier New" w:hint="default"/>
      </w:rPr>
    </w:lvl>
    <w:lvl w:ilvl="2" w:tplc="DFD0F052" w:tentative="1">
      <w:start w:val="1"/>
      <w:numFmt w:val="bullet"/>
      <w:lvlText w:val=""/>
      <w:lvlJc w:val="left"/>
      <w:pPr>
        <w:ind w:left="3645" w:hanging="360"/>
      </w:pPr>
      <w:rPr>
        <w:rFonts w:ascii="Wingdings" w:hAnsi="Wingdings" w:hint="default"/>
      </w:rPr>
    </w:lvl>
    <w:lvl w:ilvl="3" w:tplc="F8020BD8" w:tentative="1">
      <w:start w:val="1"/>
      <w:numFmt w:val="bullet"/>
      <w:lvlText w:val=""/>
      <w:lvlJc w:val="left"/>
      <w:pPr>
        <w:ind w:left="4365" w:hanging="360"/>
      </w:pPr>
      <w:rPr>
        <w:rFonts w:ascii="Symbol" w:hAnsi="Symbol" w:hint="default"/>
      </w:rPr>
    </w:lvl>
    <w:lvl w:ilvl="4" w:tplc="D938F960" w:tentative="1">
      <w:start w:val="1"/>
      <w:numFmt w:val="bullet"/>
      <w:lvlText w:val="o"/>
      <w:lvlJc w:val="left"/>
      <w:pPr>
        <w:ind w:left="5085" w:hanging="360"/>
      </w:pPr>
      <w:rPr>
        <w:rFonts w:ascii="Courier New" w:hAnsi="Courier New" w:cs="Courier New" w:hint="default"/>
      </w:rPr>
    </w:lvl>
    <w:lvl w:ilvl="5" w:tplc="952082AE" w:tentative="1">
      <w:start w:val="1"/>
      <w:numFmt w:val="bullet"/>
      <w:lvlText w:val=""/>
      <w:lvlJc w:val="left"/>
      <w:pPr>
        <w:ind w:left="5805" w:hanging="360"/>
      </w:pPr>
      <w:rPr>
        <w:rFonts w:ascii="Wingdings" w:hAnsi="Wingdings" w:hint="default"/>
      </w:rPr>
    </w:lvl>
    <w:lvl w:ilvl="6" w:tplc="F36E8C10" w:tentative="1">
      <w:start w:val="1"/>
      <w:numFmt w:val="bullet"/>
      <w:lvlText w:val=""/>
      <w:lvlJc w:val="left"/>
      <w:pPr>
        <w:ind w:left="6525" w:hanging="360"/>
      </w:pPr>
      <w:rPr>
        <w:rFonts w:ascii="Symbol" w:hAnsi="Symbol" w:hint="default"/>
      </w:rPr>
    </w:lvl>
    <w:lvl w:ilvl="7" w:tplc="AB7A06EE" w:tentative="1">
      <w:start w:val="1"/>
      <w:numFmt w:val="bullet"/>
      <w:lvlText w:val="o"/>
      <w:lvlJc w:val="left"/>
      <w:pPr>
        <w:ind w:left="7245" w:hanging="360"/>
      </w:pPr>
      <w:rPr>
        <w:rFonts w:ascii="Courier New" w:hAnsi="Courier New" w:cs="Courier New" w:hint="default"/>
      </w:rPr>
    </w:lvl>
    <w:lvl w:ilvl="8" w:tplc="2ECE0050" w:tentative="1">
      <w:start w:val="1"/>
      <w:numFmt w:val="bullet"/>
      <w:lvlText w:val=""/>
      <w:lvlJc w:val="left"/>
      <w:pPr>
        <w:ind w:left="7965" w:hanging="360"/>
      </w:pPr>
      <w:rPr>
        <w:rFonts w:ascii="Wingdings" w:hAnsi="Wingdings" w:hint="default"/>
      </w:rPr>
    </w:lvl>
  </w:abstractNum>
  <w:abstractNum w:abstractNumId="9" w15:restartNumberingAfterBreak="0">
    <w:nsid w:val="198D6401"/>
    <w:multiLevelType w:val="hybridMultilevel"/>
    <w:tmpl w:val="CF08FB0E"/>
    <w:lvl w:ilvl="0" w:tplc="3AD6A0D0">
      <w:start w:val="1"/>
      <w:numFmt w:val="bullet"/>
      <w:lvlText w:val=""/>
      <w:lvlJc w:val="left"/>
      <w:pPr>
        <w:ind w:left="1429" w:hanging="360"/>
      </w:pPr>
      <w:rPr>
        <w:rFonts w:ascii="Symbol" w:hAnsi="Symbol" w:hint="default"/>
      </w:rPr>
    </w:lvl>
    <w:lvl w:ilvl="1" w:tplc="CF72FC0E" w:tentative="1">
      <w:start w:val="1"/>
      <w:numFmt w:val="bullet"/>
      <w:lvlText w:val="o"/>
      <w:lvlJc w:val="left"/>
      <w:pPr>
        <w:ind w:left="2149" w:hanging="360"/>
      </w:pPr>
      <w:rPr>
        <w:rFonts w:ascii="Courier New" w:hAnsi="Courier New" w:cs="Courier New" w:hint="default"/>
      </w:rPr>
    </w:lvl>
    <w:lvl w:ilvl="2" w:tplc="33BE8AAA" w:tentative="1">
      <w:start w:val="1"/>
      <w:numFmt w:val="bullet"/>
      <w:lvlText w:val=""/>
      <w:lvlJc w:val="left"/>
      <w:pPr>
        <w:ind w:left="2869" w:hanging="360"/>
      </w:pPr>
      <w:rPr>
        <w:rFonts w:ascii="Wingdings" w:hAnsi="Wingdings" w:hint="default"/>
      </w:rPr>
    </w:lvl>
    <w:lvl w:ilvl="3" w:tplc="0602D2EA" w:tentative="1">
      <w:start w:val="1"/>
      <w:numFmt w:val="bullet"/>
      <w:lvlText w:val=""/>
      <w:lvlJc w:val="left"/>
      <w:pPr>
        <w:ind w:left="3589" w:hanging="360"/>
      </w:pPr>
      <w:rPr>
        <w:rFonts w:ascii="Symbol" w:hAnsi="Symbol" w:hint="default"/>
      </w:rPr>
    </w:lvl>
    <w:lvl w:ilvl="4" w:tplc="008664C8" w:tentative="1">
      <w:start w:val="1"/>
      <w:numFmt w:val="bullet"/>
      <w:lvlText w:val="o"/>
      <w:lvlJc w:val="left"/>
      <w:pPr>
        <w:ind w:left="4309" w:hanging="360"/>
      </w:pPr>
      <w:rPr>
        <w:rFonts w:ascii="Courier New" w:hAnsi="Courier New" w:cs="Courier New" w:hint="default"/>
      </w:rPr>
    </w:lvl>
    <w:lvl w:ilvl="5" w:tplc="D51C5146" w:tentative="1">
      <w:start w:val="1"/>
      <w:numFmt w:val="bullet"/>
      <w:lvlText w:val=""/>
      <w:lvlJc w:val="left"/>
      <w:pPr>
        <w:ind w:left="5029" w:hanging="360"/>
      </w:pPr>
      <w:rPr>
        <w:rFonts w:ascii="Wingdings" w:hAnsi="Wingdings" w:hint="default"/>
      </w:rPr>
    </w:lvl>
    <w:lvl w:ilvl="6" w:tplc="78365046" w:tentative="1">
      <w:start w:val="1"/>
      <w:numFmt w:val="bullet"/>
      <w:lvlText w:val=""/>
      <w:lvlJc w:val="left"/>
      <w:pPr>
        <w:ind w:left="5749" w:hanging="360"/>
      </w:pPr>
      <w:rPr>
        <w:rFonts w:ascii="Symbol" w:hAnsi="Symbol" w:hint="default"/>
      </w:rPr>
    </w:lvl>
    <w:lvl w:ilvl="7" w:tplc="DFF0B66E" w:tentative="1">
      <w:start w:val="1"/>
      <w:numFmt w:val="bullet"/>
      <w:lvlText w:val="o"/>
      <w:lvlJc w:val="left"/>
      <w:pPr>
        <w:ind w:left="6469" w:hanging="360"/>
      </w:pPr>
      <w:rPr>
        <w:rFonts w:ascii="Courier New" w:hAnsi="Courier New" w:cs="Courier New" w:hint="default"/>
      </w:rPr>
    </w:lvl>
    <w:lvl w:ilvl="8" w:tplc="4CD28AF6" w:tentative="1">
      <w:start w:val="1"/>
      <w:numFmt w:val="bullet"/>
      <w:lvlText w:val=""/>
      <w:lvlJc w:val="left"/>
      <w:pPr>
        <w:ind w:left="7189" w:hanging="360"/>
      </w:pPr>
      <w:rPr>
        <w:rFonts w:ascii="Wingdings" w:hAnsi="Wingdings" w:hint="default"/>
      </w:rPr>
    </w:lvl>
  </w:abstractNum>
  <w:abstractNum w:abstractNumId="10" w15:restartNumberingAfterBreak="0">
    <w:nsid w:val="1A5E332C"/>
    <w:multiLevelType w:val="hybridMultilevel"/>
    <w:tmpl w:val="C24448DE"/>
    <w:lvl w:ilvl="0" w:tplc="5A862EC6">
      <w:start w:val="1"/>
      <w:numFmt w:val="decimal"/>
      <w:lvlText w:val="%1)"/>
      <w:lvlJc w:val="left"/>
      <w:pPr>
        <w:ind w:left="1287" w:hanging="360"/>
      </w:pPr>
    </w:lvl>
    <w:lvl w:ilvl="1" w:tplc="C7E66D08" w:tentative="1">
      <w:start w:val="1"/>
      <w:numFmt w:val="lowerLetter"/>
      <w:lvlText w:val="%2."/>
      <w:lvlJc w:val="left"/>
      <w:pPr>
        <w:ind w:left="2007" w:hanging="360"/>
      </w:pPr>
    </w:lvl>
    <w:lvl w:ilvl="2" w:tplc="2DDCB324" w:tentative="1">
      <w:start w:val="1"/>
      <w:numFmt w:val="lowerRoman"/>
      <w:lvlText w:val="%3."/>
      <w:lvlJc w:val="right"/>
      <w:pPr>
        <w:ind w:left="2727" w:hanging="180"/>
      </w:pPr>
    </w:lvl>
    <w:lvl w:ilvl="3" w:tplc="F73AF8C8" w:tentative="1">
      <w:start w:val="1"/>
      <w:numFmt w:val="decimal"/>
      <w:lvlText w:val="%4."/>
      <w:lvlJc w:val="left"/>
      <w:pPr>
        <w:ind w:left="3447" w:hanging="360"/>
      </w:pPr>
    </w:lvl>
    <w:lvl w:ilvl="4" w:tplc="CB6EC6EC" w:tentative="1">
      <w:start w:val="1"/>
      <w:numFmt w:val="lowerLetter"/>
      <w:lvlText w:val="%5."/>
      <w:lvlJc w:val="left"/>
      <w:pPr>
        <w:ind w:left="4167" w:hanging="360"/>
      </w:pPr>
    </w:lvl>
    <w:lvl w:ilvl="5" w:tplc="C172B4B8" w:tentative="1">
      <w:start w:val="1"/>
      <w:numFmt w:val="lowerRoman"/>
      <w:lvlText w:val="%6."/>
      <w:lvlJc w:val="right"/>
      <w:pPr>
        <w:ind w:left="4887" w:hanging="180"/>
      </w:pPr>
    </w:lvl>
    <w:lvl w:ilvl="6" w:tplc="77569418" w:tentative="1">
      <w:start w:val="1"/>
      <w:numFmt w:val="decimal"/>
      <w:lvlText w:val="%7."/>
      <w:lvlJc w:val="left"/>
      <w:pPr>
        <w:ind w:left="5607" w:hanging="360"/>
      </w:pPr>
    </w:lvl>
    <w:lvl w:ilvl="7" w:tplc="E938B628" w:tentative="1">
      <w:start w:val="1"/>
      <w:numFmt w:val="lowerLetter"/>
      <w:lvlText w:val="%8."/>
      <w:lvlJc w:val="left"/>
      <w:pPr>
        <w:ind w:left="6327" w:hanging="360"/>
      </w:pPr>
    </w:lvl>
    <w:lvl w:ilvl="8" w:tplc="8EDC37D2" w:tentative="1">
      <w:start w:val="1"/>
      <w:numFmt w:val="lowerRoman"/>
      <w:lvlText w:val="%9."/>
      <w:lvlJc w:val="right"/>
      <w:pPr>
        <w:ind w:left="7047" w:hanging="180"/>
      </w:pPr>
    </w:lvl>
  </w:abstractNum>
  <w:abstractNum w:abstractNumId="11" w15:restartNumberingAfterBreak="0">
    <w:nsid w:val="1E9F710E"/>
    <w:multiLevelType w:val="hybridMultilevel"/>
    <w:tmpl w:val="AB30E42E"/>
    <w:lvl w:ilvl="0" w:tplc="E0C46F8C">
      <w:start w:val="1"/>
      <w:numFmt w:val="bullet"/>
      <w:pStyle w:val="Continued"/>
      <w:lvlText w:val=""/>
      <w:lvlJc w:val="left"/>
      <w:pPr>
        <w:tabs>
          <w:tab w:val="num" w:pos="360"/>
        </w:tabs>
        <w:ind w:left="284" w:hanging="284"/>
      </w:pPr>
      <w:rPr>
        <w:rFonts w:ascii="Symbol" w:hAnsi="Symbol" w:hint="default"/>
      </w:rPr>
    </w:lvl>
    <w:lvl w:ilvl="1" w:tplc="B4FA6636">
      <w:start w:val="1"/>
      <w:numFmt w:val="bullet"/>
      <w:lvlText w:val="o"/>
      <w:lvlJc w:val="left"/>
      <w:pPr>
        <w:tabs>
          <w:tab w:val="num" w:pos="1440"/>
        </w:tabs>
        <w:ind w:left="1440" w:hanging="360"/>
      </w:pPr>
      <w:rPr>
        <w:rFonts w:ascii="Courier" w:hAnsi="Courier" w:hint="default"/>
      </w:rPr>
    </w:lvl>
    <w:lvl w:ilvl="2" w:tplc="85E07FEE" w:tentative="1">
      <w:start w:val="1"/>
      <w:numFmt w:val="bullet"/>
      <w:lvlText w:val=""/>
      <w:lvlJc w:val="left"/>
      <w:pPr>
        <w:tabs>
          <w:tab w:val="num" w:pos="2160"/>
        </w:tabs>
        <w:ind w:left="2160" w:hanging="360"/>
      </w:pPr>
      <w:rPr>
        <w:rFonts w:ascii="Symbol" w:hAnsi="Symbol" w:hint="default"/>
      </w:rPr>
    </w:lvl>
    <w:lvl w:ilvl="3" w:tplc="686EBA68" w:tentative="1">
      <w:start w:val="1"/>
      <w:numFmt w:val="bullet"/>
      <w:lvlText w:val=""/>
      <w:lvlJc w:val="left"/>
      <w:pPr>
        <w:tabs>
          <w:tab w:val="num" w:pos="2880"/>
        </w:tabs>
        <w:ind w:left="2880" w:hanging="360"/>
      </w:pPr>
      <w:rPr>
        <w:rFonts w:ascii="Symbol" w:hAnsi="Symbol" w:hint="default"/>
      </w:rPr>
    </w:lvl>
    <w:lvl w:ilvl="4" w:tplc="B17C7C9E" w:tentative="1">
      <w:start w:val="1"/>
      <w:numFmt w:val="bullet"/>
      <w:lvlText w:val="o"/>
      <w:lvlJc w:val="left"/>
      <w:pPr>
        <w:tabs>
          <w:tab w:val="num" w:pos="3600"/>
        </w:tabs>
        <w:ind w:left="3600" w:hanging="360"/>
      </w:pPr>
      <w:rPr>
        <w:rFonts w:ascii="Courier" w:hAnsi="Courier" w:hint="default"/>
      </w:rPr>
    </w:lvl>
    <w:lvl w:ilvl="5" w:tplc="60CCC614" w:tentative="1">
      <w:start w:val="1"/>
      <w:numFmt w:val="bullet"/>
      <w:lvlText w:val=""/>
      <w:lvlJc w:val="left"/>
      <w:pPr>
        <w:tabs>
          <w:tab w:val="num" w:pos="4320"/>
        </w:tabs>
        <w:ind w:left="4320" w:hanging="360"/>
      </w:pPr>
      <w:rPr>
        <w:rFonts w:ascii="Symbol" w:hAnsi="Symbol" w:hint="default"/>
      </w:rPr>
    </w:lvl>
    <w:lvl w:ilvl="6" w:tplc="879E4E96" w:tentative="1">
      <w:start w:val="1"/>
      <w:numFmt w:val="bullet"/>
      <w:lvlText w:val=""/>
      <w:lvlJc w:val="left"/>
      <w:pPr>
        <w:tabs>
          <w:tab w:val="num" w:pos="5040"/>
        </w:tabs>
        <w:ind w:left="5040" w:hanging="360"/>
      </w:pPr>
      <w:rPr>
        <w:rFonts w:ascii="Symbol" w:hAnsi="Symbol" w:hint="default"/>
      </w:rPr>
    </w:lvl>
    <w:lvl w:ilvl="7" w:tplc="51BAD1C8" w:tentative="1">
      <w:start w:val="1"/>
      <w:numFmt w:val="bullet"/>
      <w:lvlText w:val="o"/>
      <w:lvlJc w:val="left"/>
      <w:pPr>
        <w:tabs>
          <w:tab w:val="num" w:pos="5760"/>
        </w:tabs>
        <w:ind w:left="5760" w:hanging="360"/>
      </w:pPr>
      <w:rPr>
        <w:rFonts w:ascii="Courier" w:hAnsi="Courier" w:hint="default"/>
      </w:rPr>
    </w:lvl>
    <w:lvl w:ilvl="8" w:tplc="76C2743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EE86454"/>
    <w:multiLevelType w:val="hybridMultilevel"/>
    <w:tmpl w:val="63F08B42"/>
    <w:lvl w:ilvl="0" w:tplc="90663A9E">
      <w:start w:val="1"/>
      <w:numFmt w:val="decimal"/>
      <w:lvlText w:val="%1)"/>
      <w:lvlJc w:val="left"/>
      <w:pPr>
        <w:ind w:left="1287" w:hanging="360"/>
      </w:pPr>
    </w:lvl>
    <w:lvl w:ilvl="1" w:tplc="534CE240" w:tentative="1">
      <w:start w:val="1"/>
      <w:numFmt w:val="lowerLetter"/>
      <w:lvlText w:val="%2."/>
      <w:lvlJc w:val="left"/>
      <w:pPr>
        <w:ind w:left="2007" w:hanging="360"/>
      </w:pPr>
    </w:lvl>
    <w:lvl w:ilvl="2" w:tplc="422611A8" w:tentative="1">
      <w:start w:val="1"/>
      <w:numFmt w:val="lowerRoman"/>
      <w:lvlText w:val="%3."/>
      <w:lvlJc w:val="right"/>
      <w:pPr>
        <w:ind w:left="2727" w:hanging="180"/>
      </w:pPr>
    </w:lvl>
    <w:lvl w:ilvl="3" w:tplc="AE848BF6" w:tentative="1">
      <w:start w:val="1"/>
      <w:numFmt w:val="decimal"/>
      <w:lvlText w:val="%4."/>
      <w:lvlJc w:val="left"/>
      <w:pPr>
        <w:ind w:left="3447" w:hanging="360"/>
      </w:pPr>
    </w:lvl>
    <w:lvl w:ilvl="4" w:tplc="FB24459A" w:tentative="1">
      <w:start w:val="1"/>
      <w:numFmt w:val="lowerLetter"/>
      <w:lvlText w:val="%5."/>
      <w:lvlJc w:val="left"/>
      <w:pPr>
        <w:ind w:left="4167" w:hanging="360"/>
      </w:pPr>
    </w:lvl>
    <w:lvl w:ilvl="5" w:tplc="9A6C9D68" w:tentative="1">
      <w:start w:val="1"/>
      <w:numFmt w:val="lowerRoman"/>
      <w:lvlText w:val="%6."/>
      <w:lvlJc w:val="right"/>
      <w:pPr>
        <w:ind w:left="4887" w:hanging="180"/>
      </w:pPr>
    </w:lvl>
    <w:lvl w:ilvl="6" w:tplc="35BCF852" w:tentative="1">
      <w:start w:val="1"/>
      <w:numFmt w:val="decimal"/>
      <w:lvlText w:val="%7."/>
      <w:lvlJc w:val="left"/>
      <w:pPr>
        <w:ind w:left="5607" w:hanging="360"/>
      </w:pPr>
    </w:lvl>
    <w:lvl w:ilvl="7" w:tplc="21180BAC" w:tentative="1">
      <w:start w:val="1"/>
      <w:numFmt w:val="lowerLetter"/>
      <w:lvlText w:val="%8."/>
      <w:lvlJc w:val="left"/>
      <w:pPr>
        <w:ind w:left="6327" w:hanging="360"/>
      </w:pPr>
    </w:lvl>
    <w:lvl w:ilvl="8" w:tplc="0E8A03F6" w:tentative="1">
      <w:start w:val="1"/>
      <w:numFmt w:val="lowerRoman"/>
      <w:lvlText w:val="%9."/>
      <w:lvlJc w:val="right"/>
      <w:pPr>
        <w:ind w:left="7047" w:hanging="180"/>
      </w:pPr>
    </w:lvl>
  </w:abstractNum>
  <w:abstractNum w:abstractNumId="13" w15:restartNumberingAfterBreak="0">
    <w:nsid w:val="20825AB4"/>
    <w:multiLevelType w:val="hybridMultilevel"/>
    <w:tmpl w:val="324E443A"/>
    <w:lvl w:ilvl="0" w:tplc="A87C524A">
      <w:start w:val="1"/>
      <w:numFmt w:val="bullet"/>
      <w:pStyle w:val="1"/>
      <w:lvlText w:val=""/>
      <w:lvlJc w:val="left"/>
      <w:pPr>
        <w:tabs>
          <w:tab w:val="num" w:pos="502"/>
        </w:tabs>
        <w:ind w:left="502" w:hanging="360"/>
      </w:pPr>
      <w:rPr>
        <w:rFonts w:ascii="Symbol" w:hAnsi="Symbol" w:hint="default"/>
      </w:rPr>
    </w:lvl>
    <w:lvl w:ilvl="1" w:tplc="6AEA02CC">
      <w:start w:val="1"/>
      <w:numFmt w:val="bullet"/>
      <w:lvlText w:val="o"/>
      <w:lvlJc w:val="left"/>
      <w:pPr>
        <w:tabs>
          <w:tab w:val="num" w:pos="2291"/>
        </w:tabs>
        <w:ind w:left="2291" w:hanging="360"/>
      </w:pPr>
      <w:rPr>
        <w:rFonts w:ascii="Courier New" w:hAnsi="Courier New" w:hint="default"/>
      </w:rPr>
    </w:lvl>
    <w:lvl w:ilvl="2" w:tplc="CAE40466" w:tentative="1">
      <w:start w:val="1"/>
      <w:numFmt w:val="bullet"/>
      <w:lvlText w:val=""/>
      <w:lvlJc w:val="left"/>
      <w:pPr>
        <w:tabs>
          <w:tab w:val="num" w:pos="3011"/>
        </w:tabs>
        <w:ind w:left="3011" w:hanging="360"/>
      </w:pPr>
      <w:rPr>
        <w:rFonts w:ascii="Wingdings" w:hAnsi="Wingdings" w:hint="default"/>
      </w:rPr>
    </w:lvl>
    <w:lvl w:ilvl="3" w:tplc="3C782754">
      <w:start w:val="1"/>
      <w:numFmt w:val="bullet"/>
      <w:lvlText w:val=""/>
      <w:lvlJc w:val="left"/>
      <w:pPr>
        <w:tabs>
          <w:tab w:val="num" w:pos="3731"/>
        </w:tabs>
        <w:ind w:left="3731" w:hanging="360"/>
      </w:pPr>
      <w:rPr>
        <w:rFonts w:ascii="Symbol" w:hAnsi="Symbol" w:hint="default"/>
      </w:rPr>
    </w:lvl>
    <w:lvl w:ilvl="4" w:tplc="0F7ECB0C" w:tentative="1">
      <w:start w:val="1"/>
      <w:numFmt w:val="bullet"/>
      <w:lvlText w:val="o"/>
      <w:lvlJc w:val="left"/>
      <w:pPr>
        <w:tabs>
          <w:tab w:val="num" w:pos="4451"/>
        </w:tabs>
        <w:ind w:left="4451" w:hanging="360"/>
      </w:pPr>
      <w:rPr>
        <w:rFonts w:ascii="Courier New" w:hAnsi="Courier New" w:hint="default"/>
      </w:rPr>
    </w:lvl>
    <w:lvl w:ilvl="5" w:tplc="23780BCC" w:tentative="1">
      <w:start w:val="1"/>
      <w:numFmt w:val="bullet"/>
      <w:lvlText w:val=""/>
      <w:lvlJc w:val="left"/>
      <w:pPr>
        <w:tabs>
          <w:tab w:val="num" w:pos="5171"/>
        </w:tabs>
        <w:ind w:left="5171" w:hanging="360"/>
      </w:pPr>
      <w:rPr>
        <w:rFonts w:ascii="Wingdings" w:hAnsi="Wingdings" w:hint="default"/>
      </w:rPr>
    </w:lvl>
    <w:lvl w:ilvl="6" w:tplc="FDD21316" w:tentative="1">
      <w:start w:val="1"/>
      <w:numFmt w:val="bullet"/>
      <w:lvlText w:val=""/>
      <w:lvlJc w:val="left"/>
      <w:pPr>
        <w:tabs>
          <w:tab w:val="num" w:pos="5891"/>
        </w:tabs>
        <w:ind w:left="5891" w:hanging="360"/>
      </w:pPr>
      <w:rPr>
        <w:rFonts w:ascii="Symbol" w:hAnsi="Symbol" w:hint="default"/>
      </w:rPr>
    </w:lvl>
    <w:lvl w:ilvl="7" w:tplc="85B4D982" w:tentative="1">
      <w:start w:val="1"/>
      <w:numFmt w:val="bullet"/>
      <w:lvlText w:val="o"/>
      <w:lvlJc w:val="left"/>
      <w:pPr>
        <w:tabs>
          <w:tab w:val="num" w:pos="6611"/>
        </w:tabs>
        <w:ind w:left="6611" w:hanging="360"/>
      </w:pPr>
      <w:rPr>
        <w:rFonts w:ascii="Courier New" w:hAnsi="Courier New" w:hint="default"/>
      </w:rPr>
    </w:lvl>
    <w:lvl w:ilvl="8" w:tplc="D43A5DD8"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1E17C50"/>
    <w:multiLevelType w:val="hybridMultilevel"/>
    <w:tmpl w:val="C47EA5D8"/>
    <w:lvl w:ilvl="0" w:tplc="0B400D7A">
      <w:start w:val="1"/>
      <w:numFmt w:val="bullet"/>
      <w:lvlText w:val=""/>
      <w:lvlJc w:val="left"/>
      <w:pPr>
        <w:ind w:left="927" w:hanging="360"/>
      </w:pPr>
      <w:rPr>
        <w:rFonts w:ascii="Symbol" w:hAnsi="Symbol" w:hint="default"/>
        <w:sz w:val="24"/>
      </w:rPr>
    </w:lvl>
    <w:lvl w:ilvl="1" w:tplc="3C747F4C" w:tentative="1">
      <w:start w:val="1"/>
      <w:numFmt w:val="bullet"/>
      <w:lvlText w:val="o"/>
      <w:lvlJc w:val="left"/>
      <w:pPr>
        <w:ind w:left="1647" w:hanging="360"/>
      </w:pPr>
      <w:rPr>
        <w:rFonts w:ascii="Courier New" w:hAnsi="Courier New" w:cs="Courier New" w:hint="default"/>
      </w:rPr>
    </w:lvl>
    <w:lvl w:ilvl="2" w:tplc="FD02E252" w:tentative="1">
      <w:start w:val="1"/>
      <w:numFmt w:val="bullet"/>
      <w:lvlText w:val=""/>
      <w:lvlJc w:val="left"/>
      <w:pPr>
        <w:ind w:left="2367" w:hanging="360"/>
      </w:pPr>
      <w:rPr>
        <w:rFonts w:ascii="Wingdings" w:hAnsi="Wingdings" w:hint="default"/>
      </w:rPr>
    </w:lvl>
    <w:lvl w:ilvl="3" w:tplc="F0A23280" w:tentative="1">
      <w:start w:val="1"/>
      <w:numFmt w:val="bullet"/>
      <w:lvlText w:val=""/>
      <w:lvlJc w:val="left"/>
      <w:pPr>
        <w:ind w:left="3087" w:hanging="360"/>
      </w:pPr>
      <w:rPr>
        <w:rFonts w:ascii="Symbol" w:hAnsi="Symbol" w:hint="default"/>
      </w:rPr>
    </w:lvl>
    <w:lvl w:ilvl="4" w:tplc="BF26C630" w:tentative="1">
      <w:start w:val="1"/>
      <w:numFmt w:val="bullet"/>
      <w:lvlText w:val="o"/>
      <w:lvlJc w:val="left"/>
      <w:pPr>
        <w:ind w:left="3807" w:hanging="360"/>
      </w:pPr>
      <w:rPr>
        <w:rFonts w:ascii="Courier New" w:hAnsi="Courier New" w:cs="Courier New" w:hint="default"/>
      </w:rPr>
    </w:lvl>
    <w:lvl w:ilvl="5" w:tplc="B5C86BC8" w:tentative="1">
      <w:start w:val="1"/>
      <w:numFmt w:val="bullet"/>
      <w:lvlText w:val=""/>
      <w:lvlJc w:val="left"/>
      <w:pPr>
        <w:ind w:left="4527" w:hanging="360"/>
      </w:pPr>
      <w:rPr>
        <w:rFonts w:ascii="Wingdings" w:hAnsi="Wingdings" w:hint="default"/>
      </w:rPr>
    </w:lvl>
    <w:lvl w:ilvl="6" w:tplc="4A180D40" w:tentative="1">
      <w:start w:val="1"/>
      <w:numFmt w:val="bullet"/>
      <w:lvlText w:val=""/>
      <w:lvlJc w:val="left"/>
      <w:pPr>
        <w:ind w:left="5247" w:hanging="360"/>
      </w:pPr>
      <w:rPr>
        <w:rFonts w:ascii="Symbol" w:hAnsi="Symbol" w:hint="default"/>
      </w:rPr>
    </w:lvl>
    <w:lvl w:ilvl="7" w:tplc="CD0E4684" w:tentative="1">
      <w:start w:val="1"/>
      <w:numFmt w:val="bullet"/>
      <w:lvlText w:val="o"/>
      <w:lvlJc w:val="left"/>
      <w:pPr>
        <w:ind w:left="5967" w:hanging="360"/>
      </w:pPr>
      <w:rPr>
        <w:rFonts w:ascii="Courier New" w:hAnsi="Courier New" w:cs="Courier New" w:hint="default"/>
      </w:rPr>
    </w:lvl>
    <w:lvl w:ilvl="8" w:tplc="9370B316" w:tentative="1">
      <w:start w:val="1"/>
      <w:numFmt w:val="bullet"/>
      <w:lvlText w:val=""/>
      <w:lvlJc w:val="left"/>
      <w:pPr>
        <w:ind w:left="6687" w:hanging="360"/>
      </w:pPr>
      <w:rPr>
        <w:rFonts w:ascii="Wingdings" w:hAnsi="Wingdings" w:hint="default"/>
      </w:rPr>
    </w:lvl>
  </w:abstractNum>
  <w:abstractNum w:abstractNumId="15" w15:restartNumberingAfterBreak="0">
    <w:nsid w:val="22B3742E"/>
    <w:multiLevelType w:val="hybridMultilevel"/>
    <w:tmpl w:val="994C87CA"/>
    <w:lvl w:ilvl="0" w:tplc="79C058E2">
      <w:start w:val="1"/>
      <w:numFmt w:val="decimal"/>
      <w:lvlText w:val="%1."/>
      <w:lvlJc w:val="left"/>
      <w:pPr>
        <w:ind w:left="720" w:hanging="360"/>
      </w:pPr>
    </w:lvl>
    <w:lvl w:ilvl="1" w:tplc="2D4AC3E4" w:tentative="1">
      <w:start w:val="1"/>
      <w:numFmt w:val="lowerLetter"/>
      <w:lvlText w:val="%2."/>
      <w:lvlJc w:val="left"/>
      <w:pPr>
        <w:ind w:left="1440" w:hanging="360"/>
      </w:pPr>
    </w:lvl>
    <w:lvl w:ilvl="2" w:tplc="9F7CCB62" w:tentative="1">
      <w:start w:val="1"/>
      <w:numFmt w:val="lowerRoman"/>
      <w:lvlText w:val="%3."/>
      <w:lvlJc w:val="right"/>
      <w:pPr>
        <w:ind w:left="2160" w:hanging="180"/>
      </w:pPr>
    </w:lvl>
    <w:lvl w:ilvl="3" w:tplc="EB14E52C" w:tentative="1">
      <w:start w:val="1"/>
      <w:numFmt w:val="decimal"/>
      <w:lvlText w:val="%4."/>
      <w:lvlJc w:val="left"/>
      <w:pPr>
        <w:ind w:left="2880" w:hanging="360"/>
      </w:pPr>
    </w:lvl>
    <w:lvl w:ilvl="4" w:tplc="7466F9D4" w:tentative="1">
      <w:start w:val="1"/>
      <w:numFmt w:val="lowerLetter"/>
      <w:lvlText w:val="%5."/>
      <w:lvlJc w:val="left"/>
      <w:pPr>
        <w:ind w:left="3600" w:hanging="360"/>
      </w:pPr>
    </w:lvl>
    <w:lvl w:ilvl="5" w:tplc="C5DC0B20" w:tentative="1">
      <w:start w:val="1"/>
      <w:numFmt w:val="lowerRoman"/>
      <w:lvlText w:val="%6."/>
      <w:lvlJc w:val="right"/>
      <w:pPr>
        <w:ind w:left="4320" w:hanging="180"/>
      </w:pPr>
    </w:lvl>
    <w:lvl w:ilvl="6" w:tplc="1236EEAA" w:tentative="1">
      <w:start w:val="1"/>
      <w:numFmt w:val="decimal"/>
      <w:lvlText w:val="%7."/>
      <w:lvlJc w:val="left"/>
      <w:pPr>
        <w:ind w:left="5040" w:hanging="360"/>
      </w:pPr>
    </w:lvl>
    <w:lvl w:ilvl="7" w:tplc="6E4A6836" w:tentative="1">
      <w:start w:val="1"/>
      <w:numFmt w:val="lowerLetter"/>
      <w:lvlText w:val="%8."/>
      <w:lvlJc w:val="left"/>
      <w:pPr>
        <w:ind w:left="5760" w:hanging="360"/>
      </w:pPr>
    </w:lvl>
    <w:lvl w:ilvl="8" w:tplc="38128B3C" w:tentative="1">
      <w:start w:val="1"/>
      <w:numFmt w:val="lowerRoman"/>
      <w:lvlText w:val="%9."/>
      <w:lvlJc w:val="right"/>
      <w:pPr>
        <w:ind w:left="6480" w:hanging="180"/>
      </w:pPr>
    </w:lvl>
  </w:abstractNum>
  <w:abstractNum w:abstractNumId="16" w15:restartNumberingAfterBreak="0">
    <w:nsid w:val="238672B9"/>
    <w:multiLevelType w:val="hybridMultilevel"/>
    <w:tmpl w:val="05781DA6"/>
    <w:lvl w:ilvl="0" w:tplc="6F8019EC">
      <w:start w:val="1"/>
      <w:numFmt w:val="bullet"/>
      <w:pStyle w:val="ABC-BulletsinNotes"/>
      <w:lvlText w:val=""/>
      <w:lvlJc w:val="left"/>
      <w:pPr>
        <w:ind w:left="720" w:hanging="360"/>
      </w:pPr>
      <w:rPr>
        <w:rFonts w:ascii="Wingdings" w:hAnsi="Wingdings" w:hint="default"/>
      </w:rPr>
    </w:lvl>
    <w:lvl w:ilvl="1" w:tplc="DBD038C6" w:tentative="1">
      <w:start w:val="1"/>
      <w:numFmt w:val="bullet"/>
      <w:lvlText w:val="o"/>
      <w:lvlJc w:val="left"/>
      <w:pPr>
        <w:ind w:left="1440" w:hanging="360"/>
      </w:pPr>
      <w:rPr>
        <w:rFonts w:ascii="Courier New" w:hAnsi="Courier New" w:cs="Courier New" w:hint="default"/>
      </w:rPr>
    </w:lvl>
    <w:lvl w:ilvl="2" w:tplc="900C81B8" w:tentative="1">
      <w:start w:val="1"/>
      <w:numFmt w:val="bullet"/>
      <w:lvlText w:val=""/>
      <w:lvlJc w:val="left"/>
      <w:pPr>
        <w:ind w:left="2160" w:hanging="360"/>
      </w:pPr>
      <w:rPr>
        <w:rFonts w:ascii="Wingdings" w:hAnsi="Wingdings" w:hint="default"/>
      </w:rPr>
    </w:lvl>
    <w:lvl w:ilvl="3" w:tplc="0CD80D86" w:tentative="1">
      <w:start w:val="1"/>
      <w:numFmt w:val="bullet"/>
      <w:lvlText w:val=""/>
      <w:lvlJc w:val="left"/>
      <w:pPr>
        <w:ind w:left="2880" w:hanging="360"/>
      </w:pPr>
      <w:rPr>
        <w:rFonts w:ascii="Symbol" w:hAnsi="Symbol" w:hint="default"/>
      </w:rPr>
    </w:lvl>
    <w:lvl w:ilvl="4" w:tplc="33E650CA" w:tentative="1">
      <w:start w:val="1"/>
      <w:numFmt w:val="bullet"/>
      <w:lvlText w:val="o"/>
      <w:lvlJc w:val="left"/>
      <w:pPr>
        <w:ind w:left="3600" w:hanging="360"/>
      </w:pPr>
      <w:rPr>
        <w:rFonts w:ascii="Courier New" w:hAnsi="Courier New" w:cs="Courier New" w:hint="default"/>
      </w:rPr>
    </w:lvl>
    <w:lvl w:ilvl="5" w:tplc="DDEEA250" w:tentative="1">
      <w:start w:val="1"/>
      <w:numFmt w:val="bullet"/>
      <w:lvlText w:val=""/>
      <w:lvlJc w:val="left"/>
      <w:pPr>
        <w:ind w:left="4320" w:hanging="360"/>
      </w:pPr>
      <w:rPr>
        <w:rFonts w:ascii="Wingdings" w:hAnsi="Wingdings" w:hint="default"/>
      </w:rPr>
    </w:lvl>
    <w:lvl w:ilvl="6" w:tplc="443C48F8" w:tentative="1">
      <w:start w:val="1"/>
      <w:numFmt w:val="bullet"/>
      <w:lvlText w:val=""/>
      <w:lvlJc w:val="left"/>
      <w:pPr>
        <w:ind w:left="5040" w:hanging="360"/>
      </w:pPr>
      <w:rPr>
        <w:rFonts w:ascii="Symbol" w:hAnsi="Symbol" w:hint="default"/>
      </w:rPr>
    </w:lvl>
    <w:lvl w:ilvl="7" w:tplc="CC5445B2" w:tentative="1">
      <w:start w:val="1"/>
      <w:numFmt w:val="bullet"/>
      <w:lvlText w:val="o"/>
      <w:lvlJc w:val="left"/>
      <w:pPr>
        <w:ind w:left="5760" w:hanging="360"/>
      </w:pPr>
      <w:rPr>
        <w:rFonts w:ascii="Courier New" w:hAnsi="Courier New" w:cs="Courier New" w:hint="default"/>
      </w:rPr>
    </w:lvl>
    <w:lvl w:ilvl="8" w:tplc="360852E0" w:tentative="1">
      <w:start w:val="1"/>
      <w:numFmt w:val="bullet"/>
      <w:lvlText w:val=""/>
      <w:lvlJc w:val="left"/>
      <w:pPr>
        <w:ind w:left="6480" w:hanging="360"/>
      </w:pPr>
      <w:rPr>
        <w:rFonts w:ascii="Wingdings" w:hAnsi="Wingdings" w:hint="default"/>
      </w:rPr>
    </w:lvl>
  </w:abstractNum>
  <w:abstractNum w:abstractNumId="17" w15:restartNumberingAfterBreak="0">
    <w:nsid w:val="29711B10"/>
    <w:multiLevelType w:val="hybridMultilevel"/>
    <w:tmpl w:val="7AF228CA"/>
    <w:lvl w:ilvl="0" w:tplc="E1A07470">
      <w:start w:val="1"/>
      <w:numFmt w:val="decimal"/>
      <w:pStyle w:val="11"/>
      <w:lvlText w:val="%1."/>
      <w:lvlJc w:val="left"/>
      <w:pPr>
        <w:ind w:left="360" w:hanging="360"/>
      </w:pPr>
      <w:rPr>
        <w:rFonts w:ascii="Palatino Linotype" w:hAnsi="Palatino Linotype" w:hint="default"/>
        <w:i w:val="0"/>
        <w:sz w:val="22"/>
        <w:szCs w:val="22"/>
      </w:rPr>
    </w:lvl>
    <w:lvl w:ilvl="1" w:tplc="8988B2E6" w:tentative="1">
      <w:start w:val="1"/>
      <w:numFmt w:val="lowerLetter"/>
      <w:lvlText w:val="%2."/>
      <w:lvlJc w:val="left"/>
      <w:pPr>
        <w:ind w:left="1440" w:hanging="360"/>
      </w:pPr>
    </w:lvl>
    <w:lvl w:ilvl="2" w:tplc="D2C8BEB4" w:tentative="1">
      <w:start w:val="1"/>
      <w:numFmt w:val="lowerRoman"/>
      <w:lvlText w:val="%3."/>
      <w:lvlJc w:val="right"/>
      <w:pPr>
        <w:ind w:left="2160" w:hanging="180"/>
      </w:pPr>
    </w:lvl>
    <w:lvl w:ilvl="3" w:tplc="B07AB252" w:tentative="1">
      <w:start w:val="1"/>
      <w:numFmt w:val="decimal"/>
      <w:lvlText w:val="%4."/>
      <w:lvlJc w:val="left"/>
      <w:pPr>
        <w:ind w:left="2880" w:hanging="360"/>
      </w:pPr>
    </w:lvl>
    <w:lvl w:ilvl="4" w:tplc="9A7043B2" w:tentative="1">
      <w:start w:val="1"/>
      <w:numFmt w:val="lowerLetter"/>
      <w:lvlText w:val="%5."/>
      <w:lvlJc w:val="left"/>
      <w:pPr>
        <w:ind w:left="3600" w:hanging="360"/>
      </w:pPr>
    </w:lvl>
    <w:lvl w:ilvl="5" w:tplc="77D83586" w:tentative="1">
      <w:start w:val="1"/>
      <w:numFmt w:val="lowerRoman"/>
      <w:lvlText w:val="%6."/>
      <w:lvlJc w:val="right"/>
      <w:pPr>
        <w:ind w:left="4320" w:hanging="180"/>
      </w:pPr>
    </w:lvl>
    <w:lvl w:ilvl="6" w:tplc="DD22177C" w:tentative="1">
      <w:start w:val="1"/>
      <w:numFmt w:val="decimal"/>
      <w:lvlText w:val="%7."/>
      <w:lvlJc w:val="left"/>
      <w:pPr>
        <w:ind w:left="5040" w:hanging="360"/>
      </w:pPr>
    </w:lvl>
    <w:lvl w:ilvl="7" w:tplc="34FE5400" w:tentative="1">
      <w:start w:val="1"/>
      <w:numFmt w:val="lowerLetter"/>
      <w:lvlText w:val="%8."/>
      <w:lvlJc w:val="left"/>
      <w:pPr>
        <w:ind w:left="5760" w:hanging="360"/>
      </w:pPr>
    </w:lvl>
    <w:lvl w:ilvl="8" w:tplc="1CB4A1D0" w:tentative="1">
      <w:start w:val="1"/>
      <w:numFmt w:val="lowerRoman"/>
      <w:lvlText w:val="%9."/>
      <w:lvlJc w:val="right"/>
      <w:pPr>
        <w:ind w:left="6480" w:hanging="180"/>
      </w:pPr>
    </w:lvl>
  </w:abstractNum>
  <w:abstractNum w:abstractNumId="18" w15:restartNumberingAfterBreak="0">
    <w:nsid w:val="2C20796E"/>
    <w:multiLevelType w:val="hybridMultilevel"/>
    <w:tmpl w:val="A52C0CF2"/>
    <w:lvl w:ilvl="0" w:tplc="E60A9660">
      <w:start w:val="1"/>
      <w:numFmt w:val="bullet"/>
      <w:lvlText w:val=""/>
      <w:lvlJc w:val="left"/>
      <w:pPr>
        <w:ind w:left="1287" w:hanging="360"/>
      </w:pPr>
      <w:rPr>
        <w:rFonts w:ascii="Symbol" w:hAnsi="Symbol" w:hint="default"/>
        <w:sz w:val="24"/>
      </w:rPr>
    </w:lvl>
    <w:lvl w:ilvl="1" w:tplc="7D50CE34" w:tentative="1">
      <w:start w:val="1"/>
      <w:numFmt w:val="bullet"/>
      <w:lvlText w:val="o"/>
      <w:lvlJc w:val="left"/>
      <w:pPr>
        <w:ind w:left="2007" w:hanging="360"/>
      </w:pPr>
      <w:rPr>
        <w:rFonts w:ascii="Courier New" w:hAnsi="Courier New" w:cs="Courier New" w:hint="default"/>
      </w:rPr>
    </w:lvl>
    <w:lvl w:ilvl="2" w:tplc="44469026" w:tentative="1">
      <w:start w:val="1"/>
      <w:numFmt w:val="bullet"/>
      <w:lvlText w:val=""/>
      <w:lvlJc w:val="left"/>
      <w:pPr>
        <w:ind w:left="2727" w:hanging="360"/>
      </w:pPr>
      <w:rPr>
        <w:rFonts w:ascii="Wingdings" w:hAnsi="Wingdings" w:hint="default"/>
      </w:rPr>
    </w:lvl>
    <w:lvl w:ilvl="3" w:tplc="82D4635C" w:tentative="1">
      <w:start w:val="1"/>
      <w:numFmt w:val="bullet"/>
      <w:lvlText w:val=""/>
      <w:lvlJc w:val="left"/>
      <w:pPr>
        <w:ind w:left="3447" w:hanging="360"/>
      </w:pPr>
      <w:rPr>
        <w:rFonts w:ascii="Symbol" w:hAnsi="Symbol" w:hint="default"/>
      </w:rPr>
    </w:lvl>
    <w:lvl w:ilvl="4" w:tplc="1EFE4BEA" w:tentative="1">
      <w:start w:val="1"/>
      <w:numFmt w:val="bullet"/>
      <w:lvlText w:val="o"/>
      <w:lvlJc w:val="left"/>
      <w:pPr>
        <w:ind w:left="4167" w:hanging="360"/>
      </w:pPr>
      <w:rPr>
        <w:rFonts w:ascii="Courier New" w:hAnsi="Courier New" w:cs="Courier New" w:hint="default"/>
      </w:rPr>
    </w:lvl>
    <w:lvl w:ilvl="5" w:tplc="E5D0F1EC" w:tentative="1">
      <w:start w:val="1"/>
      <w:numFmt w:val="bullet"/>
      <w:lvlText w:val=""/>
      <w:lvlJc w:val="left"/>
      <w:pPr>
        <w:ind w:left="4887" w:hanging="360"/>
      </w:pPr>
      <w:rPr>
        <w:rFonts w:ascii="Wingdings" w:hAnsi="Wingdings" w:hint="default"/>
      </w:rPr>
    </w:lvl>
    <w:lvl w:ilvl="6" w:tplc="A92EC1C4" w:tentative="1">
      <w:start w:val="1"/>
      <w:numFmt w:val="bullet"/>
      <w:lvlText w:val=""/>
      <w:lvlJc w:val="left"/>
      <w:pPr>
        <w:ind w:left="5607" w:hanging="360"/>
      </w:pPr>
      <w:rPr>
        <w:rFonts w:ascii="Symbol" w:hAnsi="Symbol" w:hint="default"/>
      </w:rPr>
    </w:lvl>
    <w:lvl w:ilvl="7" w:tplc="29EA7E2A" w:tentative="1">
      <w:start w:val="1"/>
      <w:numFmt w:val="bullet"/>
      <w:lvlText w:val="o"/>
      <w:lvlJc w:val="left"/>
      <w:pPr>
        <w:ind w:left="6327" w:hanging="360"/>
      </w:pPr>
      <w:rPr>
        <w:rFonts w:ascii="Courier New" w:hAnsi="Courier New" w:cs="Courier New" w:hint="default"/>
      </w:rPr>
    </w:lvl>
    <w:lvl w:ilvl="8" w:tplc="B30AFB00" w:tentative="1">
      <w:start w:val="1"/>
      <w:numFmt w:val="bullet"/>
      <w:lvlText w:val=""/>
      <w:lvlJc w:val="left"/>
      <w:pPr>
        <w:ind w:left="7047" w:hanging="360"/>
      </w:pPr>
      <w:rPr>
        <w:rFonts w:ascii="Wingdings" w:hAnsi="Wingdings" w:hint="default"/>
      </w:rPr>
    </w:lvl>
  </w:abstractNum>
  <w:abstractNum w:abstractNumId="19" w15:restartNumberingAfterBreak="0">
    <w:nsid w:val="2DC04D0C"/>
    <w:multiLevelType w:val="hybridMultilevel"/>
    <w:tmpl w:val="A41A11E6"/>
    <w:lvl w:ilvl="0" w:tplc="49F0DA74">
      <w:start w:val="1"/>
      <w:numFmt w:val="decimal"/>
      <w:pStyle w:val="3"/>
      <w:lvlText w:val="%1."/>
      <w:lvlJc w:val="left"/>
      <w:pPr>
        <w:ind w:left="927" w:hanging="360"/>
      </w:pPr>
      <w:rPr>
        <w:rFonts w:ascii="Times New Roman" w:hAnsi="Times New Roman" w:cs="Times New Roman" w:hint="default"/>
        <w:b/>
        <w:sz w:val="24"/>
        <w:szCs w:val="24"/>
      </w:rPr>
    </w:lvl>
    <w:lvl w:ilvl="1" w:tplc="3552DCAA" w:tentative="1">
      <w:start w:val="1"/>
      <w:numFmt w:val="lowerLetter"/>
      <w:lvlText w:val="%2."/>
      <w:lvlJc w:val="left"/>
      <w:pPr>
        <w:ind w:left="1647" w:hanging="360"/>
      </w:pPr>
    </w:lvl>
    <w:lvl w:ilvl="2" w:tplc="1846B0A0" w:tentative="1">
      <w:start w:val="1"/>
      <w:numFmt w:val="lowerRoman"/>
      <w:lvlText w:val="%3."/>
      <w:lvlJc w:val="right"/>
      <w:pPr>
        <w:ind w:left="2367" w:hanging="180"/>
      </w:pPr>
    </w:lvl>
    <w:lvl w:ilvl="3" w:tplc="7CF2EB9E" w:tentative="1">
      <w:start w:val="1"/>
      <w:numFmt w:val="decimal"/>
      <w:lvlText w:val="%4."/>
      <w:lvlJc w:val="left"/>
      <w:pPr>
        <w:ind w:left="3087" w:hanging="360"/>
      </w:pPr>
    </w:lvl>
    <w:lvl w:ilvl="4" w:tplc="A948B08E" w:tentative="1">
      <w:start w:val="1"/>
      <w:numFmt w:val="lowerLetter"/>
      <w:lvlText w:val="%5."/>
      <w:lvlJc w:val="left"/>
      <w:pPr>
        <w:ind w:left="3807" w:hanging="360"/>
      </w:pPr>
    </w:lvl>
    <w:lvl w:ilvl="5" w:tplc="E864FD94" w:tentative="1">
      <w:start w:val="1"/>
      <w:numFmt w:val="lowerRoman"/>
      <w:lvlText w:val="%6."/>
      <w:lvlJc w:val="right"/>
      <w:pPr>
        <w:ind w:left="4527" w:hanging="180"/>
      </w:pPr>
    </w:lvl>
    <w:lvl w:ilvl="6" w:tplc="D758CB12" w:tentative="1">
      <w:start w:val="1"/>
      <w:numFmt w:val="decimal"/>
      <w:lvlText w:val="%7."/>
      <w:lvlJc w:val="left"/>
      <w:pPr>
        <w:ind w:left="5247" w:hanging="360"/>
      </w:pPr>
    </w:lvl>
    <w:lvl w:ilvl="7" w:tplc="EF18F85A" w:tentative="1">
      <w:start w:val="1"/>
      <w:numFmt w:val="lowerLetter"/>
      <w:lvlText w:val="%8."/>
      <w:lvlJc w:val="left"/>
      <w:pPr>
        <w:ind w:left="5967" w:hanging="360"/>
      </w:pPr>
    </w:lvl>
    <w:lvl w:ilvl="8" w:tplc="6164BA4C" w:tentative="1">
      <w:start w:val="1"/>
      <w:numFmt w:val="lowerRoman"/>
      <w:lvlText w:val="%9."/>
      <w:lvlJc w:val="right"/>
      <w:pPr>
        <w:ind w:left="6687" w:hanging="180"/>
      </w:pPr>
    </w:lvl>
  </w:abstractNum>
  <w:abstractNum w:abstractNumId="20" w15:restartNumberingAfterBreak="0">
    <w:nsid w:val="2EAD6F6C"/>
    <w:multiLevelType w:val="hybridMultilevel"/>
    <w:tmpl w:val="ACC467A2"/>
    <w:lvl w:ilvl="0" w:tplc="69C2B9E2">
      <w:start w:val="1"/>
      <w:numFmt w:val="bullet"/>
      <w:lvlText w:val=""/>
      <w:lvlJc w:val="left"/>
      <w:pPr>
        <w:ind w:left="1287" w:hanging="360"/>
      </w:pPr>
      <w:rPr>
        <w:rFonts w:ascii="Symbol" w:hAnsi="Symbol" w:hint="default"/>
      </w:rPr>
    </w:lvl>
    <w:lvl w:ilvl="1" w:tplc="9570744C" w:tentative="1">
      <w:start w:val="1"/>
      <w:numFmt w:val="bullet"/>
      <w:lvlText w:val="o"/>
      <w:lvlJc w:val="left"/>
      <w:pPr>
        <w:ind w:left="2007" w:hanging="360"/>
      </w:pPr>
      <w:rPr>
        <w:rFonts w:ascii="Courier New" w:hAnsi="Courier New" w:cs="Courier New" w:hint="default"/>
      </w:rPr>
    </w:lvl>
    <w:lvl w:ilvl="2" w:tplc="10248B2E" w:tentative="1">
      <w:start w:val="1"/>
      <w:numFmt w:val="bullet"/>
      <w:lvlText w:val=""/>
      <w:lvlJc w:val="left"/>
      <w:pPr>
        <w:ind w:left="2727" w:hanging="360"/>
      </w:pPr>
      <w:rPr>
        <w:rFonts w:ascii="Wingdings" w:hAnsi="Wingdings" w:hint="default"/>
      </w:rPr>
    </w:lvl>
    <w:lvl w:ilvl="3" w:tplc="FCE0B01C" w:tentative="1">
      <w:start w:val="1"/>
      <w:numFmt w:val="bullet"/>
      <w:lvlText w:val=""/>
      <w:lvlJc w:val="left"/>
      <w:pPr>
        <w:ind w:left="3447" w:hanging="360"/>
      </w:pPr>
      <w:rPr>
        <w:rFonts w:ascii="Symbol" w:hAnsi="Symbol" w:hint="default"/>
      </w:rPr>
    </w:lvl>
    <w:lvl w:ilvl="4" w:tplc="A78C2518" w:tentative="1">
      <w:start w:val="1"/>
      <w:numFmt w:val="bullet"/>
      <w:lvlText w:val="o"/>
      <w:lvlJc w:val="left"/>
      <w:pPr>
        <w:ind w:left="4167" w:hanging="360"/>
      </w:pPr>
      <w:rPr>
        <w:rFonts w:ascii="Courier New" w:hAnsi="Courier New" w:cs="Courier New" w:hint="default"/>
      </w:rPr>
    </w:lvl>
    <w:lvl w:ilvl="5" w:tplc="8FD8DF70" w:tentative="1">
      <w:start w:val="1"/>
      <w:numFmt w:val="bullet"/>
      <w:lvlText w:val=""/>
      <w:lvlJc w:val="left"/>
      <w:pPr>
        <w:ind w:left="4887" w:hanging="360"/>
      </w:pPr>
      <w:rPr>
        <w:rFonts w:ascii="Wingdings" w:hAnsi="Wingdings" w:hint="default"/>
      </w:rPr>
    </w:lvl>
    <w:lvl w:ilvl="6" w:tplc="8946E584" w:tentative="1">
      <w:start w:val="1"/>
      <w:numFmt w:val="bullet"/>
      <w:lvlText w:val=""/>
      <w:lvlJc w:val="left"/>
      <w:pPr>
        <w:ind w:left="5607" w:hanging="360"/>
      </w:pPr>
      <w:rPr>
        <w:rFonts w:ascii="Symbol" w:hAnsi="Symbol" w:hint="default"/>
      </w:rPr>
    </w:lvl>
    <w:lvl w:ilvl="7" w:tplc="8B2A32B2" w:tentative="1">
      <w:start w:val="1"/>
      <w:numFmt w:val="bullet"/>
      <w:lvlText w:val="o"/>
      <w:lvlJc w:val="left"/>
      <w:pPr>
        <w:ind w:left="6327" w:hanging="360"/>
      </w:pPr>
      <w:rPr>
        <w:rFonts w:ascii="Courier New" w:hAnsi="Courier New" w:cs="Courier New" w:hint="default"/>
      </w:rPr>
    </w:lvl>
    <w:lvl w:ilvl="8" w:tplc="293429E8" w:tentative="1">
      <w:start w:val="1"/>
      <w:numFmt w:val="bullet"/>
      <w:lvlText w:val=""/>
      <w:lvlJc w:val="left"/>
      <w:pPr>
        <w:ind w:left="7047" w:hanging="360"/>
      </w:pPr>
      <w:rPr>
        <w:rFonts w:ascii="Wingdings" w:hAnsi="Wingdings" w:hint="default"/>
      </w:rPr>
    </w:lvl>
  </w:abstractNum>
  <w:abstractNum w:abstractNumId="21" w15:restartNumberingAfterBreak="0">
    <w:nsid w:val="33FB5AEA"/>
    <w:multiLevelType w:val="hybridMultilevel"/>
    <w:tmpl w:val="1BA87054"/>
    <w:lvl w:ilvl="0" w:tplc="7958BE9E">
      <w:start w:val="1"/>
      <w:numFmt w:val="bullet"/>
      <w:lvlText w:val=""/>
      <w:lvlJc w:val="left"/>
      <w:pPr>
        <w:ind w:left="1287" w:hanging="360"/>
      </w:pPr>
      <w:rPr>
        <w:rFonts w:ascii="Symbol" w:hAnsi="Symbol" w:hint="default"/>
        <w:color w:val="auto"/>
      </w:rPr>
    </w:lvl>
    <w:lvl w:ilvl="1" w:tplc="68CE0C40" w:tentative="1">
      <w:start w:val="1"/>
      <w:numFmt w:val="bullet"/>
      <w:lvlText w:val="o"/>
      <w:lvlJc w:val="left"/>
      <w:pPr>
        <w:ind w:left="2007" w:hanging="360"/>
      </w:pPr>
      <w:rPr>
        <w:rFonts w:ascii="Courier New" w:hAnsi="Courier New" w:cs="Courier New" w:hint="default"/>
      </w:rPr>
    </w:lvl>
    <w:lvl w:ilvl="2" w:tplc="55D43AD6" w:tentative="1">
      <w:start w:val="1"/>
      <w:numFmt w:val="bullet"/>
      <w:lvlText w:val=""/>
      <w:lvlJc w:val="left"/>
      <w:pPr>
        <w:ind w:left="2727" w:hanging="360"/>
      </w:pPr>
      <w:rPr>
        <w:rFonts w:ascii="Wingdings" w:hAnsi="Wingdings" w:hint="default"/>
      </w:rPr>
    </w:lvl>
    <w:lvl w:ilvl="3" w:tplc="6E3A383C" w:tentative="1">
      <w:start w:val="1"/>
      <w:numFmt w:val="bullet"/>
      <w:lvlText w:val=""/>
      <w:lvlJc w:val="left"/>
      <w:pPr>
        <w:ind w:left="3447" w:hanging="360"/>
      </w:pPr>
      <w:rPr>
        <w:rFonts w:ascii="Symbol" w:hAnsi="Symbol" w:hint="default"/>
      </w:rPr>
    </w:lvl>
    <w:lvl w:ilvl="4" w:tplc="DDCA29B0" w:tentative="1">
      <w:start w:val="1"/>
      <w:numFmt w:val="bullet"/>
      <w:lvlText w:val="o"/>
      <w:lvlJc w:val="left"/>
      <w:pPr>
        <w:ind w:left="4167" w:hanging="360"/>
      </w:pPr>
      <w:rPr>
        <w:rFonts w:ascii="Courier New" w:hAnsi="Courier New" w:cs="Courier New" w:hint="default"/>
      </w:rPr>
    </w:lvl>
    <w:lvl w:ilvl="5" w:tplc="BA944D5A" w:tentative="1">
      <w:start w:val="1"/>
      <w:numFmt w:val="bullet"/>
      <w:lvlText w:val=""/>
      <w:lvlJc w:val="left"/>
      <w:pPr>
        <w:ind w:left="4887" w:hanging="360"/>
      </w:pPr>
      <w:rPr>
        <w:rFonts w:ascii="Wingdings" w:hAnsi="Wingdings" w:hint="default"/>
      </w:rPr>
    </w:lvl>
    <w:lvl w:ilvl="6" w:tplc="0218B6EC" w:tentative="1">
      <w:start w:val="1"/>
      <w:numFmt w:val="bullet"/>
      <w:lvlText w:val=""/>
      <w:lvlJc w:val="left"/>
      <w:pPr>
        <w:ind w:left="5607" w:hanging="360"/>
      </w:pPr>
      <w:rPr>
        <w:rFonts w:ascii="Symbol" w:hAnsi="Symbol" w:hint="default"/>
      </w:rPr>
    </w:lvl>
    <w:lvl w:ilvl="7" w:tplc="FD204676" w:tentative="1">
      <w:start w:val="1"/>
      <w:numFmt w:val="bullet"/>
      <w:lvlText w:val="o"/>
      <w:lvlJc w:val="left"/>
      <w:pPr>
        <w:ind w:left="6327" w:hanging="360"/>
      </w:pPr>
      <w:rPr>
        <w:rFonts w:ascii="Courier New" w:hAnsi="Courier New" w:cs="Courier New" w:hint="default"/>
      </w:rPr>
    </w:lvl>
    <w:lvl w:ilvl="8" w:tplc="86EA3310" w:tentative="1">
      <w:start w:val="1"/>
      <w:numFmt w:val="bullet"/>
      <w:lvlText w:val=""/>
      <w:lvlJc w:val="left"/>
      <w:pPr>
        <w:ind w:left="7047" w:hanging="360"/>
      </w:pPr>
      <w:rPr>
        <w:rFonts w:ascii="Wingdings" w:hAnsi="Wingdings" w:hint="default"/>
      </w:rPr>
    </w:lvl>
  </w:abstractNum>
  <w:abstractNum w:abstractNumId="22" w15:restartNumberingAfterBreak="0">
    <w:nsid w:val="3A35425E"/>
    <w:multiLevelType w:val="hybridMultilevel"/>
    <w:tmpl w:val="91201DD2"/>
    <w:lvl w:ilvl="0" w:tplc="B5A2A164">
      <w:start w:val="1"/>
      <w:numFmt w:val="decimal"/>
      <w:lvlText w:val="%1)"/>
      <w:lvlJc w:val="left"/>
      <w:pPr>
        <w:tabs>
          <w:tab w:val="num" w:pos="1040"/>
        </w:tabs>
        <w:ind w:left="1020" w:hanging="340"/>
      </w:pPr>
      <w:rPr>
        <w:rFonts w:hint="default"/>
        <w:b w:val="0"/>
        <w:i w:val="0"/>
        <w:color w:val="auto"/>
      </w:rPr>
    </w:lvl>
    <w:lvl w:ilvl="1" w:tplc="F4E457EC">
      <w:start w:val="1"/>
      <w:numFmt w:val="bullet"/>
      <w:lvlText w:val="o"/>
      <w:lvlJc w:val="left"/>
      <w:pPr>
        <w:tabs>
          <w:tab w:val="num" w:pos="2120"/>
        </w:tabs>
        <w:ind w:left="2120" w:hanging="360"/>
      </w:pPr>
      <w:rPr>
        <w:rFonts w:ascii="Courier New" w:hAnsi="Courier New" w:hint="default"/>
      </w:rPr>
    </w:lvl>
    <w:lvl w:ilvl="2" w:tplc="7F1E160E">
      <w:start w:val="1"/>
      <w:numFmt w:val="bullet"/>
      <w:lvlText w:val=""/>
      <w:lvlJc w:val="left"/>
      <w:pPr>
        <w:tabs>
          <w:tab w:val="num" w:pos="2840"/>
        </w:tabs>
        <w:ind w:left="2840" w:hanging="360"/>
      </w:pPr>
      <w:rPr>
        <w:rFonts w:ascii="Wingdings" w:hAnsi="Wingdings" w:hint="default"/>
      </w:rPr>
    </w:lvl>
    <w:lvl w:ilvl="3" w:tplc="7E342B0E" w:tentative="1">
      <w:start w:val="1"/>
      <w:numFmt w:val="bullet"/>
      <w:lvlText w:val=""/>
      <w:lvlJc w:val="left"/>
      <w:pPr>
        <w:tabs>
          <w:tab w:val="num" w:pos="3560"/>
        </w:tabs>
        <w:ind w:left="3560" w:hanging="360"/>
      </w:pPr>
      <w:rPr>
        <w:rFonts w:ascii="Symbol" w:hAnsi="Symbol" w:hint="default"/>
      </w:rPr>
    </w:lvl>
    <w:lvl w:ilvl="4" w:tplc="3864B25C" w:tentative="1">
      <w:start w:val="1"/>
      <w:numFmt w:val="bullet"/>
      <w:lvlText w:val="o"/>
      <w:lvlJc w:val="left"/>
      <w:pPr>
        <w:tabs>
          <w:tab w:val="num" w:pos="4280"/>
        </w:tabs>
        <w:ind w:left="4280" w:hanging="360"/>
      </w:pPr>
      <w:rPr>
        <w:rFonts w:ascii="Courier New" w:hAnsi="Courier New" w:hint="default"/>
      </w:rPr>
    </w:lvl>
    <w:lvl w:ilvl="5" w:tplc="199CCACA" w:tentative="1">
      <w:start w:val="1"/>
      <w:numFmt w:val="bullet"/>
      <w:lvlText w:val=""/>
      <w:lvlJc w:val="left"/>
      <w:pPr>
        <w:tabs>
          <w:tab w:val="num" w:pos="5000"/>
        </w:tabs>
        <w:ind w:left="5000" w:hanging="360"/>
      </w:pPr>
      <w:rPr>
        <w:rFonts w:ascii="Wingdings" w:hAnsi="Wingdings" w:hint="default"/>
      </w:rPr>
    </w:lvl>
    <w:lvl w:ilvl="6" w:tplc="2ED4C0F6" w:tentative="1">
      <w:start w:val="1"/>
      <w:numFmt w:val="bullet"/>
      <w:lvlText w:val=""/>
      <w:lvlJc w:val="left"/>
      <w:pPr>
        <w:tabs>
          <w:tab w:val="num" w:pos="5720"/>
        </w:tabs>
        <w:ind w:left="5720" w:hanging="360"/>
      </w:pPr>
      <w:rPr>
        <w:rFonts w:ascii="Symbol" w:hAnsi="Symbol" w:hint="default"/>
      </w:rPr>
    </w:lvl>
    <w:lvl w:ilvl="7" w:tplc="1BD2CD4E" w:tentative="1">
      <w:start w:val="1"/>
      <w:numFmt w:val="bullet"/>
      <w:lvlText w:val="o"/>
      <w:lvlJc w:val="left"/>
      <w:pPr>
        <w:tabs>
          <w:tab w:val="num" w:pos="6440"/>
        </w:tabs>
        <w:ind w:left="6440" w:hanging="360"/>
      </w:pPr>
      <w:rPr>
        <w:rFonts w:ascii="Courier New" w:hAnsi="Courier New" w:hint="default"/>
      </w:rPr>
    </w:lvl>
    <w:lvl w:ilvl="8" w:tplc="A25E74F8" w:tentative="1">
      <w:start w:val="1"/>
      <w:numFmt w:val="bullet"/>
      <w:lvlText w:val=""/>
      <w:lvlJc w:val="left"/>
      <w:pPr>
        <w:tabs>
          <w:tab w:val="num" w:pos="7160"/>
        </w:tabs>
        <w:ind w:left="7160" w:hanging="360"/>
      </w:pPr>
      <w:rPr>
        <w:rFonts w:ascii="Wingdings" w:hAnsi="Wingdings" w:hint="default"/>
      </w:rPr>
    </w:lvl>
  </w:abstractNum>
  <w:abstractNum w:abstractNumId="23" w15:restartNumberingAfterBreak="0">
    <w:nsid w:val="3ACB5006"/>
    <w:multiLevelType w:val="hybridMultilevel"/>
    <w:tmpl w:val="578AD924"/>
    <w:lvl w:ilvl="0" w:tplc="0F22C65E">
      <w:start w:val="1"/>
      <w:numFmt w:val="bullet"/>
      <w:pStyle w:val="Indent3"/>
      <w:lvlText w:val=""/>
      <w:lvlJc w:val="left"/>
      <w:pPr>
        <w:ind w:left="1260" w:hanging="360"/>
      </w:pPr>
      <w:rPr>
        <w:rFonts w:ascii="Wingdings" w:hAnsi="Wingdings" w:hint="default"/>
      </w:rPr>
    </w:lvl>
    <w:lvl w:ilvl="1" w:tplc="A5A2B49E" w:tentative="1">
      <w:start w:val="1"/>
      <w:numFmt w:val="bullet"/>
      <w:lvlText w:val="o"/>
      <w:lvlJc w:val="left"/>
      <w:pPr>
        <w:ind w:left="1980" w:hanging="360"/>
      </w:pPr>
      <w:rPr>
        <w:rFonts w:ascii="Courier New" w:hAnsi="Courier New" w:cs="Courier New" w:hint="default"/>
      </w:rPr>
    </w:lvl>
    <w:lvl w:ilvl="2" w:tplc="7E8C39D8" w:tentative="1">
      <w:start w:val="1"/>
      <w:numFmt w:val="bullet"/>
      <w:lvlText w:val=""/>
      <w:lvlJc w:val="left"/>
      <w:pPr>
        <w:ind w:left="2700" w:hanging="360"/>
      </w:pPr>
      <w:rPr>
        <w:rFonts w:ascii="Wingdings" w:hAnsi="Wingdings" w:hint="default"/>
      </w:rPr>
    </w:lvl>
    <w:lvl w:ilvl="3" w:tplc="95EADD0E" w:tentative="1">
      <w:start w:val="1"/>
      <w:numFmt w:val="bullet"/>
      <w:lvlText w:val=""/>
      <w:lvlJc w:val="left"/>
      <w:pPr>
        <w:ind w:left="3420" w:hanging="360"/>
      </w:pPr>
      <w:rPr>
        <w:rFonts w:ascii="Symbol" w:hAnsi="Symbol" w:hint="default"/>
      </w:rPr>
    </w:lvl>
    <w:lvl w:ilvl="4" w:tplc="0F8CADD8" w:tentative="1">
      <w:start w:val="1"/>
      <w:numFmt w:val="bullet"/>
      <w:lvlText w:val="o"/>
      <w:lvlJc w:val="left"/>
      <w:pPr>
        <w:ind w:left="4140" w:hanging="360"/>
      </w:pPr>
      <w:rPr>
        <w:rFonts w:ascii="Courier New" w:hAnsi="Courier New" w:cs="Courier New" w:hint="default"/>
      </w:rPr>
    </w:lvl>
    <w:lvl w:ilvl="5" w:tplc="D7C403EA" w:tentative="1">
      <w:start w:val="1"/>
      <w:numFmt w:val="bullet"/>
      <w:lvlText w:val=""/>
      <w:lvlJc w:val="left"/>
      <w:pPr>
        <w:ind w:left="4860" w:hanging="360"/>
      </w:pPr>
      <w:rPr>
        <w:rFonts w:ascii="Wingdings" w:hAnsi="Wingdings" w:hint="default"/>
      </w:rPr>
    </w:lvl>
    <w:lvl w:ilvl="6" w:tplc="69D20CC2" w:tentative="1">
      <w:start w:val="1"/>
      <w:numFmt w:val="bullet"/>
      <w:lvlText w:val=""/>
      <w:lvlJc w:val="left"/>
      <w:pPr>
        <w:ind w:left="5580" w:hanging="360"/>
      </w:pPr>
      <w:rPr>
        <w:rFonts w:ascii="Symbol" w:hAnsi="Symbol" w:hint="default"/>
      </w:rPr>
    </w:lvl>
    <w:lvl w:ilvl="7" w:tplc="CF2E91C2" w:tentative="1">
      <w:start w:val="1"/>
      <w:numFmt w:val="bullet"/>
      <w:lvlText w:val="o"/>
      <w:lvlJc w:val="left"/>
      <w:pPr>
        <w:ind w:left="6300" w:hanging="360"/>
      </w:pPr>
      <w:rPr>
        <w:rFonts w:ascii="Courier New" w:hAnsi="Courier New" w:cs="Courier New" w:hint="default"/>
      </w:rPr>
    </w:lvl>
    <w:lvl w:ilvl="8" w:tplc="4A7E3136" w:tentative="1">
      <w:start w:val="1"/>
      <w:numFmt w:val="bullet"/>
      <w:lvlText w:val=""/>
      <w:lvlJc w:val="left"/>
      <w:pPr>
        <w:ind w:left="7020" w:hanging="360"/>
      </w:pPr>
      <w:rPr>
        <w:rFonts w:ascii="Wingdings" w:hAnsi="Wingdings" w:hint="default"/>
      </w:rPr>
    </w:lvl>
  </w:abstractNum>
  <w:abstractNum w:abstractNumId="24" w15:restartNumberingAfterBreak="0">
    <w:nsid w:val="3C0A0FF2"/>
    <w:multiLevelType w:val="hybridMultilevel"/>
    <w:tmpl w:val="F33E28AE"/>
    <w:lvl w:ilvl="0" w:tplc="0F0CAA04">
      <w:start w:val="1"/>
      <w:numFmt w:val="bullet"/>
      <w:pStyle w:val="a"/>
      <w:lvlText w:val=""/>
      <w:lvlJc w:val="left"/>
      <w:pPr>
        <w:tabs>
          <w:tab w:val="num" w:pos="1033"/>
        </w:tabs>
        <w:ind w:left="1033" w:hanging="992"/>
      </w:pPr>
      <w:rPr>
        <w:rFonts w:ascii="Symbol" w:hAnsi="Symbol" w:hint="default"/>
      </w:rPr>
    </w:lvl>
    <w:lvl w:ilvl="1" w:tplc="09F8C29E" w:tentative="1">
      <w:start w:val="1"/>
      <w:numFmt w:val="bullet"/>
      <w:lvlText w:val="o"/>
      <w:lvlJc w:val="left"/>
      <w:pPr>
        <w:tabs>
          <w:tab w:val="num" w:pos="1481"/>
        </w:tabs>
        <w:ind w:left="1481" w:hanging="360"/>
      </w:pPr>
      <w:rPr>
        <w:rFonts w:ascii="Courier New" w:hAnsi="Courier New" w:hint="default"/>
      </w:rPr>
    </w:lvl>
    <w:lvl w:ilvl="2" w:tplc="AED465AA" w:tentative="1">
      <w:start w:val="1"/>
      <w:numFmt w:val="bullet"/>
      <w:lvlText w:val=""/>
      <w:lvlJc w:val="left"/>
      <w:pPr>
        <w:tabs>
          <w:tab w:val="num" w:pos="2201"/>
        </w:tabs>
        <w:ind w:left="2201" w:hanging="360"/>
      </w:pPr>
      <w:rPr>
        <w:rFonts w:ascii="Wingdings" w:hAnsi="Wingdings" w:hint="default"/>
      </w:rPr>
    </w:lvl>
    <w:lvl w:ilvl="3" w:tplc="82F677C0" w:tentative="1">
      <w:start w:val="1"/>
      <w:numFmt w:val="bullet"/>
      <w:lvlText w:val=""/>
      <w:lvlJc w:val="left"/>
      <w:pPr>
        <w:tabs>
          <w:tab w:val="num" w:pos="2921"/>
        </w:tabs>
        <w:ind w:left="2921" w:hanging="360"/>
      </w:pPr>
      <w:rPr>
        <w:rFonts w:ascii="Symbol" w:hAnsi="Symbol" w:hint="default"/>
      </w:rPr>
    </w:lvl>
    <w:lvl w:ilvl="4" w:tplc="88B63F1A" w:tentative="1">
      <w:start w:val="1"/>
      <w:numFmt w:val="bullet"/>
      <w:lvlText w:val="o"/>
      <w:lvlJc w:val="left"/>
      <w:pPr>
        <w:tabs>
          <w:tab w:val="num" w:pos="3641"/>
        </w:tabs>
        <w:ind w:left="3641" w:hanging="360"/>
      </w:pPr>
      <w:rPr>
        <w:rFonts w:ascii="Courier New" w:hAnsi="Courier New" w:hint="default"/>
      </w:rPr>
    </w:lvl>
    <w:lvl w:ilvl="5" w:tplc="355A4A36" w:tentative="1">
      <w:start w:val="1"/>
      <w:numFmt w:val="bullet"/>
      <w:lvlText w:val=""/>
      <w:lvlJc w:val="left"/>
      <w:pPr>
        <w:tabs>
          <w:tab w:val="num" w:pos="4361"/>
        </w:tabs>
        <w:ind w:left="4361" w:hanging="360"/>
      </w:pPr>
      <w:rPr>
        <w:rFonts w:ascii="Wingdings" w:hAnsi="Wingdings" w:hint="default"/>
      </w:rPr>
    </w:lvl>
    <w:lvl w:ilvl="6" w:tplc="64662EB8" w:tentative="1">
      <w:start w:val="1"/>
      <w:numFmt w:val="bullet"/>
      <w:lvlText w:val=""/>
      <w:lvlJc w:val="left"/>
      <w:pPr>
        <w:tabs>
          <w:tab w:val="num" w:pos="5081"/>
        </w:tabs>
        <w:ind w:left="5081" w:hanging="360"/>
      </w:pPr>
      <w:rPr>
        <w:rFonts w:ascii="Symbol" w:hAnsi="Symbol" w:hint="default"/>
      </w:rPr>
    </w:lvl>
    <w:lvl w:ilvl="7" w:tplc="BBAC51BE" w:tentative="1">
      <w:start w:val="1"/>
      <w:numFmt w:val="bullet"/>
      <w:lvlText w:val="o"/>
      <w:lvlJc w:val="left"/>
      <w:pPr>
        <w:tabs>
          <w:tab w:val="num" w:pos="5801"/>
        </w:tabs>
        <w:ind w:left="5801" w:hanging="360"/>
      </w:pPr>
      <w:rPr>
        <w:rFonts w:ascii="Courier New" w:hAnsi="Courier New" w:hint="default"/>
      </w:rPr>
    </w:lvl>
    <w:lvl w:ilvl="8" w:tplc="44A4D10A" w:tentative="1">
      <w:start w:val="1"/>
      <w:numFmt w:val="bullet"/>
      <w:lvlText w:val=""/>
      <w:lvlJc w:val="left"/>
      <w:pPr>
        <w:tabs>
          <w:tab w:val="num" w:pos="6521"/>
        </w:tabs>
        <w:ind w:left="6521" w:hanging="360"/>
      </w:pPr>
      <w:rPr>
        <w:rFonts w:ascii="Wingdings" w:hAnsi="Wingdings" w:hint="default"/>
      </w:rPr>
    </w:lvl>
  </w:abstractNum>
  <w:abstractNum w:abstractNumId="25" w15:restartNumberingAfterBreak="0">
    <w:nsid w:val="41B9126F"/>
    <w:multiLevelType w:val="hybridMultilevel"/>
    <w:tmpl w:val="E070B6C6"/>
    <w:lvl w:ilvl="0" w:tplc="588EC642">
      <w:start w:val="1"/>
      <w:numFmt w:val="bullet"/>
      <w:pStyle w:val="Reportbullets"/>
      <w:lvlText w:val=""/>
      <w:lvlJc w:val="left"/>
      <w:pPr>
        <w:ind w:left="720" w:hanging="360"/>
      </w:pPr>
      <w:rPr>
        <w:rFonts w:ascii="Symbol" w:hAnsi="Symbol" w:hint="default"/>
      </w:rPr>
    </w:lvl>
    <w:lvl w:ilvl="1" w:tplc="5DD2A6E6" w:tentative="1">
      <w:start w:val="1"/>
      <w:numFmt w:val="bullet"/>
      <w:lvlText w:val="o"/>
      <w:lvlJc w:val="left"/>
      <w:pPr>
        <w:ind w:left="1440" w:hanging="360"/>
      </w:pPr>
      <w:rPr>
        <w:rFonts w:ascii="Courier New" w:hAnsi="Courier New" w:cs="Courier New" w:hint="default"/>
      </w:rPr>
    </w:lvl>
    <w:lvl w:ilvl="2" w:tplc="48069068" w:tentative="1">
      <w:start w:val="1"/>
      <w:numFmt w:val="bullet"/>
      <w:lvlText w:val=""/>
      <w:lvlJc w:val="left"/>
      <w:pPr>
        <w:ind w:left="2160" w:hanging="360"/>
      </w:pPr>
      <w:rPr>
        <w:rFonts w:ascii="Wingdings" w:hAnsi="Wingdings" w:hint="default"/>
      </w:rPr>
    </w:lvl>
    <w:lvl w:ilvl="3" w:tplc="7F509B6A" w:tentative="1">
      <w:start w:val="1"/>
      <w:numFmt w:val="bullet"/>
      <w:lvlText w:val=""/>
      <w:lvlJc w:val="left"/>
      <w:pPr>
        <w:ind w:left="2880" w:hanging="360"/>
      </w:pPr>
      <w:rPr>
        <w:rFonts w:ascii="Symbol" w:hAnsi="Symbol" w:hint="default"/>
      </w:rPr>
    </w:lvl>
    <w:lvl w:ilvl="4" w:tplc="B9207E30" w:tentative="1">
      <w:start w:val="1"/>
      <w:numFmt w:val="bullet"/>
      <w:lvlText w:val="o"/>
      <w:lvlJc w:val="left"/>
      <w:pPr>
        <w:ind w:left="3600" w:hanging="360"/>
      </w:pPr>
      <w:rPr>
        <w:rFonts w:ascii="Courier New" w:hAnsi="Courier New" w:cs="Courier New" w:hint="default"/>
      </w:rPr>
    </w:lvl>
    <w:lvl w:ilvl="5" w:tplc="9E500DE8" w:tentative="1">
      <w:start w:val="1"/>
      <w:numFmt w:val="bullet"/>
      <w:lvlText w:val=""/>
      <w:lvlJc w:val="left"/>
      <w:pPr>
        <w:ind w:left="4320" w:hanging="360"/>
      </w:pPr>
      <w:rPr>
        <w:rFonts w:ascii="Wingdings" w:hAnsi="Wingdings" w:hint="default"/>
      </w:rPr>
    </w:lvl>
    <w:lvl w:ilvl="6" w:tplc="D94CC216" w:tentative="1">
      <w:start w:val="1"/>
      <w:numFmt w:val="bullet"/>
      <w:lvlText w:val=""/>
      <w:lvlJc w:val="left"/>
      <w:pPr>
        <w:ind w:left="5040" w:hanging="360"/>
      </w:pPr>
      <w:rPr>
        <w:rFonts w:ascii="Symbol" w:hAnsi="Symbol" w:hint="default"/>
      </w:rPr>
    </w:lvl>
    <w:lvl w:ilvl="7" w:tplc="6DC809A6" w:tentative="1">
      <w:start w:val="1"/>
      <w:numFmt w:val="bullet"/>
      <w:lvlText w:val="o"/>
      <w:lvlJc w:val="left"/>
      <w:pPr>
        <w:ind w:left="5760" w:hanging="360"/>
      </w:pPr>
      <w:rPr>
        <w:rFonts w:ascii="Courier New" w:hAnsi="Courier New" w:cs="Courier New" w:hint="default"/>
      </w:rPr>
    </w:lvl>
    <w:lvl w:ilvl="8" w:tplc="A4084E4A" w:tentative="1">
      <w:start w:val="1"/>
      <w:numFmt w:val="bullet"/>
      <w:lvlText w:val=""/>
      <w:lvlJc w:val="left"/>
      <w:pPr>
        <w:ind w:left="6480" w:hanging="360"/>
      </w:pPr>
      <w:rPr>
        <w:rFonts w:ascii="Wingdings" w:hAnsi="Wingdings" w:hint="default"/>
      </w:rPr>
    </w:lvl>
  </w:abstractNum>
  <w:abstractNum w:abstractNumId="26" w15:restartNumberingAfterBreak="0">
    <w:nsid w:val="49283B24"/>
    <w:multiLevelType w:val="hybridMultilevel"/>
    <w:tmpl w:val="24A6361C"/>
    <w:lvl w:ilvl="0" w:tplc="AF946DD0">
      <w:start w:val="1"/>
      <w:numFmt w:val="bullet"/>
      <w:pStyle w:val="N1"/>
      <w:lvlText w:val=""/>
      <w:lvlJc w:val="left"/>
      <w:pPr>
        <w:ind w:left="720" w:hanging="360"/>
      </w:pPr>
      <w:rPr>
        <w:rFonts w:ascii="Wingdings" w:hAnsi="Wingdings" w:hint="default"/>
      </w:rPr>
    </w:lvl>
    <w:lvl w:ilvl="1" w:tplc="4E52022C" w:tentative="1">
      <w:start w:val="1"/>
      <w:numFmt w:val="bullet"/>
      <w:lvlText w:val="o"/>
      <w:lvlJc w:val="left"/>
      <w:pPr>
        <w:ind w:left="1440" w:hanging="360"/>
      </w:pPr>
      <w:rPr>
        <w:rFonts w:ascii="Courier New" w:hAnsi="Courier New" w:cs="Courier New" w:hint="default"/>
      </w:rPr>
    </w:lvl>
    <w:lvl w:ilvl="2" w:tplc="CDCED8F6" w:tentative="1">
      <w:start w:val="1"/>
      <w:numFmt w:val="bullet"/>
      <w:lvlText w:val=""/>
      <w:lvlJc w:val="left"/>
      <w:pPr>
        <w:ind w:left="2160" w:hanging="360"/>
      </w:pPr>
      <w:rPr>
        <w:rFonts w:ascii="Wingdings" w:hAnsi="Wingdings" w:hint="default"/>
      </w:rPr>
    </w:lvl>
    <w:lvl w:ilvl="3" w:tplc="E3248B2E" w:tentative="1">
      <w:start w:val="1"/>
      <w:numFmt w:val="bullet"/>
      <w:lvlText w:val=""/>
      <w:lvlJc w:val="left"/>
      <w:pPr>
        <w:ind w:left="2880" w:hanging="360"/>
      </w:pPr>
      <w:rPr>
        <w:rFonts w:ascii="Symbol" w:hAnsi="Symbol" w:hint="default"/>
      </w:rPr>
    </w:lvl>
    <w:lvl w:ilvl="4" w:tplc="04FC92FC" w:tentative="1">
      <w:start w:val="1"/>
      <w:numFmt w:val="bullet"/>
      <w:lvlText w:val="o"/>
      <w:lvlJc w:val="left"/>
      <w:pPr>
        <w:ind w:left="3600" w:hanging="360"/>
      </w:pPr>
      <w:rPr>
        <w:rFonts w:ascii="Courier New" w:hAnsi="Courier New" w:cs="Courier New" w:hint="default"/>
      </w:rPr>
    </w:lvl>
    <w:lvl w:ilvl="5" w:tplc="7C0674DE" w:tentative="1">
      <w:start w:val="1"/>
      <w:numFmt w:val="bullet"/>
      <w:lvlText w:val=""/>
      <w:lvlJc w:val="left"/>
      <w:pPr>
        <w:ind w:left="4320" w:hanging="360"/>
      </w:pPr>
      <w:rPr>
        <w:rFonts w:ascii="Wingdings" w:hAnsi="Wingdings" w:hint="default"/>
      </w:rPr>
    </w:lvl>
    <w:lvl w:ilvl="6" w:tplc="CC50CE2E" w:tentative="1">
      <w:start w:val="1"/>
      <w:numFmt w:val="bullet"/>
      <w:lvlText w:val=""/>
      <w:lvlJc w:val="left"/>
      <w:pPr>
        <w:ind w:left="5040" w:hanging="360"/>
      </w:pPr>
      <w:rPr>
        <w:rFonts w:ascii="Symbol" w:hAnsi="Symbol" w:hint="default"/>
      </w:rPr>
    </w:lvl>
    <w:lvl w:ilvl="7" w:tplc="5A5CEB90" w:tentative="1">
      <w:start w:val="1"/>
      <w:numFmt w:val="bullet"/>
      <w:lvlText w:val="o"/>
      <w:lvlJc w:val="left"/>
      <w:pPr>
        <w:ind w:left="5760" w:hanging="360"/>
      </w:pPr>
      <w:rPr>
        <w:rFonts w:ascii="Courier New" w:hAnsi="Courier New" w:cs="Courier New" w:hint="default"/>
      </w:rPr>
    </w:lvl>
    <w:lvl w:ilvl="8" w:tplc="9B5EF1F2" w:tentative="1">
      <w:start w:val="1"/>
      <w:numFmt w:val="bullet"/>
      <w:lvlText w:val=""/>
      <w:lvlJc w:val="left"/>
      <w:pPr>
        <w:ind w:left="6480" w:hanging="360"/>
      </w:pPr>
      <w:rPr>
        <w:rFonts w:ascii="Wingdings" w:hAnsi="Wingdings" w:hint="default"/>
      </w:rPr>
    </w:lvl>
  </w:abstractNum>
  <w:abstractNum w:abstractNumId="27" w15:restartNumberingAfterBreak="0">
    <w:nsid w:val="4C1C1E54"/>
    <w:multiLevelType w:val="hybridMultilevel"/>
    <w:tmpl w:val="2E7A5096"/>
    <w:lvl w:ilvl="0" w:tplc="6A2C756C">
      <w:start w:val="1"/>
      <w:numFmt w:val="decimal"/>
      <w:lvlText w:val="%1."/>
      <w:lvlJc w:val="left"/>
      <w:pPr>
        <w:ind w:left="360" w:hanging="360"/>
      </w:pPr>
      <w:rPr>
        <w:b w:val="0"/>
      </w:rPr>
    </w:lvl>
    <w:lvl w:ilvl="1" w:tplc="338838F2">
      <w:start w:val="1"/>
      <w:numFmt w:val="decimal"/>
      <w:lvlText w:val="%2)"/>
      <w:lvlJc w:val="left"/>
      <w:pPr>
        <w:ind w:left="1080" w:hanging="360"/>
      </w:pPr>
      <w:rPr>
        <w:b w:val="0"/>
      </w:rPr>
    </w:lvl>
    <w:lvl w:ilvl="2" w:tplc="2520AA58" w:tentative="1">
      <w:start w:val="1"/>
      <w:numFmt w:val="lowerRoman"/>
      <w:lvlText w:val="%3."/>
      <w:lvlJc w:val="right"/>
      <w:pPr>
        <w:ind w:left="1800" w:hanging="180"/>
      </w:pPr>
    </w:lvl>
    <w:lvl w:ilvl="3" w:tplc="A2B208FE" w:tentative="1">
      <w:start w:val="1"/>
      <w:numFmt w:val="decimal"/>
      <w:lvlText w:val="%4."/>
      <w:lvlJc w:val="left"/>
      <w:pPr>
        <w:ind w:left="2520" w:hanging="360"/>
      </w:pPr>
    </w:lvl>
    <w:lvl w:ilvl="4" w:tplc="6BCAA2FA" w:tentative="1">
      <w:start w:val="1"/>
      <w:numFmt w:val="lowerLetter"/>
      <w:lvlText w:val="%5."/>
      <w:lvlJc w:val="left"/>
      <w:pPr>
        <w:ind w:left="3240" w:hanging="360"/>
      </w:pPr>
    </w:lvl>
    <w:lvl w:ilvl="5" w:tplc="C4E417FA" w:tentative="1">
      <w:start w:val="1"/>
      <w:numFmt w:val="lowerRoman"/>
      <w:lvlText w:val="%6."/>
      <w:lvlJc w:val="right"/>
      <w:pPr>
        <w:ind w:left="3960" w:hanging="180"/>
      </w:pPr>
    </w:lvl>
    <w:lvl w:ilvl="6" w:tplc="3D3EC202" w:tentative="1">
      <w:start w:val="1"/>
      <w:numFmt w:val="decimal"/>
      <w:lvlText w:val="%7."/>
      <w:lvlJc w:val="left"/>
      <w:pPr>
        <w:ind w:left="4680" w:hanging="360"/>
      </w:pPr>
    </w:lvl>
    <w:lvl w:ilvl="7" w:tplc="7188D6D6" w:tentative="1">
      <w:start w:val="1"/>
      <w:numFmt w:val="lowerLetter"/>
      <w:lvlText w:val="%8."/>
      <w:lvlJc w:val="left"/>
      <w:pPr>
        <w:ind w:left="5400" w:hanging="360"/>
      </w:pPr>
    </w:lvl>
    <w:lvl w:ilvl="8" w:tplc="874E44F4" w:tentative="1">
      <w:start w:val="1"/>
      <w:numFmt w:val="lowerRoman"/>
      <w:lvlText w:val="%9."/>
      <w:lvlJc w:val="right"/>
      <w:pPr>
        <w:ind w:left="6120" w:hanging="180"/>
      </w:pPr>
    </w:lvl>
  </w:abstractNum>
  <w:abstractNum w:abstractNumId="28" w15:restartNumberingAfterBreak="0">
    <w:nsid w:val="4C702106"/>
    <w:multiLevelType w:val="multilevel"/>
    <w:tmpl w:val="A4F6EA88"/>
    <w:lvl w:ilvl="0">
      <w:start w:val="1"/>
      <w:numFmt w:val="upperRoman"/>
      <w:pStyle w:val="Bullet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190485"/>
    <w:multiLevelType w:val="hybridMultilevel"/>
    <w:tmpl w:val="0DEC5EB0"/>
    <w:lvl w:ilvl="0" w:tplc="1A629052">
      <w:start w:val="1"/>
      <w:numFmt w:val="bullet"/>
      <w:lvlText w:val=""/>
      <w:lvlJc w:val="left"/>
      <w:pPr>
        <w:ind w:left="1429" w:hanging="360"/>
      </w:pPr>
      <w:rPr>
        <w:rFonts w:ascii="Symbol" w:hAnsi="Symbol" w:hint="default"/>
      </w:rPr>
    </w:lvl>
    <w:lvl w:ilvl="1" w:tplc="1D2EE3F2" w:tentative="1">
      <w:start w:val="1"/>
      <w:numFmt w:val="bullet"/>
      <w:lvlText w:val="o"/>
      <w:lvlJc w:val="left"/>
      <w:pPr>
        <w:ind w:left="2149" w:hanging="360"/>
      </w:pPr>
      <w:rPr>
        <w:rFonts w:ascii="Courier New" w:hAnsi="Courier New" w:cs="Courier New" w:hint="default"/>
      </w:rPr>
    </w:lvl>
    <w:lvl w:ilvl="2" w:tplc="7910D2A4" w:tentative="1">
      <w:start w:val="1"/>
      <w:numFmt w:val="bullet"/>
      <w:lvlText w:val=""/>
      <w:lvlJc w:val="left"/>
      <w:pPr>
        <w:ind w:left="2869" w:hanging="360"/>
      </w:pPr>
      <w:rPr>
        <w:rFonts w:ascii="Wingdings" w:hAnsi="Wingdings" w:hint="default"/>
      </w:rPr>
    </w:lvl>
    <w:lvl w:ilvl="3" w:tplc="75ACD2B8" w:tentative="1">
      <w:start w:val="1"/>
      <w:numFmt w:val="bullet"/>
      <w:lvlText w:val=""/>
      <w:lvlJc w:val="left"/>
      <w:pPr>
        <w:ind w:left="3589" w:hanging="360"/>
      </w:pPr>
      <w:rPr>
        <w:rFonts w:ascii="Symbol" w:hAnsi="Symbol" w:hint="default"/>
      </w:rPr>
    </w:lvl>
    <w:lvl w:ilvl="4" w:tplc="928EC6AE" w:tentative="1">
      <w:start w:val="1"/>
      <w:numFmt w:val="bullet"/>
      <w:lvlText w:val="o"/>
      <w:lvlJc w:val="left"/>
      <w:pPr>
        <w:ind w:left="4309" w:hanging="360"/>
      </w:pPr>
      <w:rPr>
        <w:rFonts w:ascii="Courier New" w:hAnsi="Courier New" w:cs="Courier New" w:hint="default"/>
      </w:rPr>
    </w:lvl>
    <w:lvl w:ilvl="5" w:tplc="B6E86858" w:tentative="1">
      <w:start w:val="1"/>
      <w:numFmt w:val="bullet"/>
      <w:lvlText w:val=""/>
      <w:lvlJc w:val="left"/>
      <w:pPr>
        <w:ind w:left="5029" w:hanging="360"/>
      </w:pPr>
      <w:rPr>
        <w:rFonts w:ascii="Wingdings" w:hAnsi="Wingdings" w:hint="default"/>
      </w:rPr>
    </w:lvl>
    <w:lvl w:ilvl="6" w:tplc="532AF27C" w:tentative="1">
      <w:start w:val="1"/>
      <w:numFmt w:val="bullet"/>
      <w:lvlText w:val=""/>
      <w:lvlJc w:val="left"/>
      <w:pPr>
        <w:ind w:left="5749" w:hanging="360"/>
      </w:pPr>
      <w:rPr>
        <w:rFonts w:ascii="Symbol" w:hAnsi="Symbol" w:hint="default"/>
      </w:rPr>
    </w:lvl>
    <w:lvl w:ilvl="7" w:tplc="1876CDB0" w:tentative="1">
      <w:start w:val="1"/>
      <w:numFmt w:val="bullet"/>
      <w:lvlText w:val="o"/>
      <w:lvlJc w:val="left"/>
      <w:pPr>
        <w:ind w:left="6469" w:hanging="360"/>
      </w:pPr>
      <w:rPr>
        <w:rFonts w:ascii="Courier New" w:hAnsi="Courier New" w:cs="Courier New" w:hint="default"/>
      </w:rPr>
    </w:lvl>
    <w:lvl w:ilvl="8" w:tplc="985A482A" w:tentative="1">
      <w:start w:val="1"/>
      <w:numFmt w:val="bullet"/>
      <w:lvlText w:val=""/>
      <w:lvlJc w:val="left"/>
      <w:pPr>
        <w:ind w:left="7189" w:hanging="360"/>
      </w:pPr>
      <w:rPr>
        <w:rFonts w:ascii="Wingdings" w:hAnsi="Wingdings" w:hint="default"/>
      </w:rPr>
    </w:lvl>
  </w:abstractNum>
  <w:abstractNum w:abstractNumId="30" w15:restartNumberingAfterBreak="0">
    <w:nsid w:val="508C6461"/>
    <w:multiLevelType w:val="hybridMultilevel"/>
    <w:tmpl w:val="5BB0F85C"/>
    <w:lvl w:ilvl="0" w:tplc="C82E06E4">
      <w:start w:val="1"/>
      <w:numFmt w:val="decimal"/>
      <w:lvlText w:val="%1."/>
      <w:lvlJc w:val="left"/>
      <w:pPr>
        <w:ind w:left="360" w:hanging="360"/>
      </w:pPr>
      <w:rPr>
        <w:rFonts w:hint="default"/>
        <w:b w:val="0"/>
      </w:rPr>
    </w:lvl>
    <w:lvl w:ilvl="1" w:tplc="C85E70B8" w:tentative="1">
      <w:start w:val="1"/>
      <w:numFmt w:val="lowerLetter"/>
      <w:lvlText w:val="%2."/>
      <w:lvlJc w:val="left"/>
      <w:pPr>
        <w:ind w:left="1440" w:hanging="360"/>
      </w:pPr>
    </w:lvl>
    <w:lvl w:ilvl="2" w:tplc="C9208384" w:tentative="1">
      <w:start w:val="1"/>
      <w:numFmt w:val="lowerRoman"/>
      <w:lvlText w:val="%3."/>
      <w:lvlJc w:val="right"/>
      <w:pPr>
        <w:ind w:left="2160" w:hanging="180"/>
      </w:pPr>
    </w:lvl>
    <w:lvl w:ilvl="3" w:tplc="01A80AAC" w:tentative="1">
      <w:start w:val="1"/>
      <w:numFmt w:val="decimal"/>
      <w:lvlText w:val="%4."/>
      <w:lvlJc w:val="left"/>
      <w:pPr>
        <w:ind w:left="2880" w:hanging="360"/>
      </w:pPr>
    </w:lvl>
    <w:lvl w:ilvl="4" w:tplc="A82E99C4" w:tentative="1">
      <w:start w:val="1"/>
      <w:numFmt w:val="lowerLetter"/>
      <w:lvlText w:val="%5."/>
      <w:lvlJc w:val="left"/>
      <w:pPr>
        <w:ind w:left="3600" w:hanging="360"/>
      </w:pPr>
    </w:lvl>
    <w:lvl w:ilvl="5" w:tplc="9A46E686" w:tentative="1">
      <w:start w:val="1"/>
      <w:numFmt w:val="lowerRoman"/>
      <w:lvlText w:val="%6."/>
      <w:lvlJc w:val="right"/>
      <w:pPr>
        <w:ind w:left="4320" w:hanging="180"/>
      </w:pPr>
    </w:lvl>
    <w:lvl w:ilvl="6" w:tplc="33C20064" w:tentative="1">
      <w:start w:val="1"/>
      <w:numFmt w:val="decimal"/>
      <w:lvlText w:val="%7."/>
      <w:lvlJc w:val="left"/>
      <w:pPr>
        <w:ind w:left="5040" w:hanging="360"/>
      </w:pPr>
    </w:lvl>
    <w:lvl w:ilvl="7" w:tplc="363C0C16" w:tentative="1">
      <w:start w:val="1"/>
      <w:numFmt w:val="lowerLetter"/>
      <w:lvlText w:val="%8."/>
      <w:lvlJc w:val="left"/>
      <w:pPr>
        <w:ind w:left="5760" w:hanging="360"/>
      </w:pPr>
    </w:lvl>
    <w:lvl w:ilvl="8" w:tplc="0D98D408" w:tentative="1">
      <w:start w:val="1"/>
      <w:numFmt w:val="lowerRoman"/>
      <w:lvlText w:val="%9."/>
      <w:lvlJc w:val="right"/>
      <w:pPr>
        <w:ind w:left="6480" w:hanging="180"/>
      </w:pPr>
    </w:lvl>
  </w:abstractNum>
  <w:abstractNum w:abstractNumId="31" w15:restartNumberingAfterBreak="0">
    <w:nsid w:val="532502FF"/>
    <w:multiLevelType w:val="hybridMultilevel"/>
    <w:tmpl w:val="2C8A1DE8"/>
    <w:lvl w:ilvl="0" w:tplc="60C2788A">
      <w:start w:val="1"/>
      <w:numFmt w:val="bullet"/>
      <w:lvlText w:val=""/>
      <w:lvlJc w:val="left"/>
      <w:pPr>
        <w:ind w:left="8157" w:hanging="360"/>
      </w:pPr>
      <w:rPr>
        <w:rFonts w:ascii="Symbol" w:hAnsi="Symbol" w:hint="default"/>
        <w:sz w:val="24"/>
      </w:rPr>
    </w:lvl>
    <w:lvl w:ilvl="1" w:tplc="C3AAD8DA" w:tentative="1">
      <w:start w:val="1"/>
      <w:numFmt w:val="bullet"/>
      <w:lvlText w:val="o"/>
      <w:lvlJc w:val="left"/>
      <w:pPr>
        <w:ind w:left="2007" w:hanging="360"/>
      </w:pPr>
      <w:rPr>
        <w:rFonts w:ascii="Courier New" w:hAnsi="Courier New" w:cs="Courier New" w:hint="default"/>
      </w:rPr>
    </w:lvl>
    <w:lvl w:ilvl="2" w:tplc="DF0451D0" w:tentative="1">
      <w:start w:val="1"/>
      <w:numFmt w:val="bullet"/>
      <w:lvlText w:val=""/>
      <w:lvlJc w:val="left"/>
      <w:pPr>
        <w:ind w:left="2727" w:hanging="360"/>
      </w:pPr>
      <w:rPr>
        <w:rFonts w:ascii="Wingdings" w:hAnsi="Wingdings" w:hint="default"/>
      </w:rPr>
    </w:lvl>
    <w:lvl w:ilvl="3" w:tplc="242ADE64" w:tentative="1">
      <w:start w:val="1"/>
      <w:numFmt w:val="bullet"/>
      <w:lvlText w:val=""/>
      <w:lvlJc w:val="left"/>
      <w:pPr>
        <w:ind w:left="3447" w:hanging="360"/>
      </w:pPr>
      <w:rPr>
        <w:rFonts w:ascii="Symbol" w:hAnsi="Symbol" w:hint="default"/>
      </w:rPr>
    </w:lvl>
    <w:lvl w:ilvl="4" w:tplc="32BCE0F2" w:tentative="1">
      <w:start w:val="1"/>
      <w:numFmt w:val="bullet"/>
      <w:lvlText w:val="o"/>
      <w:lvlJc w:val="left"/>
      <w:pPr>
        <w:ind w:left="4167" w:hanging="360"/>
      </w:pPr>
      <w:rPr>
        <w:rFonts w:ascii="Courier New" w:hAnsi="Courier New" w:cs="Courier New" w:hint="default"/>
      </w:rPr>
    </w:lvl>
    <w:lvl w:ilvl="5" w:tplc="34A4DBEC" w:tentative="1">
      <w:start w:val="1"/>
      <w:numFmt w:val="bullet"/>
      <w:lvlText w:val=""/>
      <w:lvlJc w:val="left"/>
      <w:pPr>
        <w:ind w:left="4887" w:hanging="360"/>
      </w:pPr>
      <w:rPr>
        <w:rFonts w:ascii="Wingdings" w:hAnsi="Wingdings" w:hint="default"/>
      </w:rPr>
    </w:lvl>
    <w:lvl w:ilvl="6" w:tplc="8E60A426" w:tentative="1">
      <w:start w:val="1"/>
      <w:numFmt w:val="bullet"/>
      <w:lvlText w:val=""/>
      <w:lvlJc w:val="left"/>
      <w:pPr>
        <w:ind w:left="5607" w:hanging="360"/>
      </w:pPr>
      <w:rPr>
        <w:rFonts w:ascii="Symbol" w:hAnsi="Symbol" w:hint="default"/>
      </w:rPr>
    </w:lvl>
    <w:lvl w:ilvl="7" w:tplc="B784B5F8" w:tentative="1">
      <w:start w:val="1"/>
      <w:numFmt w:val="bullet"/>
      <w:lvlText w:val="o"/>
      <w:lvlJc w:val="left"/>
      <w:pPr>
        <w:ind w:left="6327" w:hanging="360"/>
      </w:pPr>
      <w:rPr>
        <w:rFonts w:ascii="Courier New" w:hAnsi="Courier New" w:cs="Courier New" w:hint="default"/>
      </w:rPr>
    </w:lvl>
    <w:lvl w:ilvl="8" w:tplc="960CD894" w:tentative="1">
      <w:start w:val="1"/>
      <w:numFmt w:val="bullet"/>
      <w:lvlText w:val=""/>
      <w:lvlJc w:val="left"/>
      <w:pPr>
        <w:ind w:left="7047" w:hanging="360"/>
      </w:pPr>
      <w:rPr>
        <w:rFonts w:ascii="Wingdings" w:hAnsi="Wingdings" w:hint="default"/>
      </w:rPr>
    </w:lvl>
  </w:abstractNum>
  <w:abstractNum w:abstractNumId="32" w15:restartNumberingAfterBreak="0">
    <w:nsid w:val="53524115"/>
    <w:multiLevelType w:val="hybridMultilevel"/>
    <w:tmpl w:val="1D6C253E"/>
    <w:lvl w:ilvl="0" w:tplc="0242F39A">
      <w:start w:val="1"/>
      <w:numFmt w:val="bullet"/>
      <w:lvlText w:val=""/>
      <w:lvlJc w:val="left"/>
      <w:pPr>
        <w:ind w:left="720" w:hanging="360"/>
      </w:pPr>
      <w:rPr>
        <w:rFonts w:ascii="Symbol" w:hAnsi="Symbol" w:hint="default"/>
      </w:rPr>
    </w:lvl>
    <w:lvl w:ilvl="1" w:tplc="03CE49DE" w:tentative="1">
      <w:start w:val="1"/>
      <w:numFmt w:val="bullet"/>
      <w:lvlText w:val="o"/>
      <w:lvlJc w:val="left"/>
      <w:pPr>
        <w:ind w:left="1440" w:hanging="360"/>
      </w:pPr>
      <w:rPr>
        <w:rFonts w:ascii="Courier New" w:hAnsi="Courier New" w:cs="Courier New" w:hint="default"/>
      </w:rPr>
    </w:lvl>
    <w:lvl w:ilvl="2" w:tplc="5CEAD7DA" w:tentative="1">
      <w:start w:val="1"/>
      <w:numFmt w:val="bullet"/>
      <w:lvlText w:val=""/>
      <w:lvlJc w:val="left"/>
      <w:pPr>
        <w:ind w:left="2160" w:hanging="360"/>
      </w:pPr>
      <w:rPr>
        <w:rFonts w:ascii="Wingdings" w:hAnsi="Wingdings" w:hint="default"/>
      </w:rPr>
    </w:lvl>
    <w:lvl w:ilvl="3" w:tplc="5CBAB856" w:tentative="1">
      <w:start w:val="1"/>
      <w:numFmt w:val="bullet"/>
      <w:lvlText w:val=""/>
      <w:lvlJc w:val="left"/>
      <w:pPr>
        <w:ind w:left="2880" w:hanging="360"/>
      </w:pPr>
      <w:rPr>
        <w:rFonts w:ascii="Symbol" w:hAnsi="Symbol" w:hint="default"/>
      </w:rPr>
    </w:lvl>
    <w:lvl w:ilvl="4" w:tplc="4B58F58A" w:tentative="1">
      <w:start w:val="1"/>
      <w:numFmt w:val="bullet"/>
      <w:lvlText w:val="o"/>
      <w:lvlJc w:val="left"/>
      <w:pPr>
        <w:ind w:left="3600" w:hanging="360"/>
      </w:pPr>
      <w:rPr>
        <w:rFonts w:ascii="Courier New" w:hAnsi="Courier New" w:cs="Courier New" w:hint="default"/>
      </w:rPr>
    </w:lvl>
    <w:lvl w:ilvl="5" w:tplc="422E4FE6" w:tentative="1">
      <w:start w:val="1"/>
      <w:numFmt w:val="bullet"/>
      <w:lvlText w:val=""/>
      <w:lvlJc w:val="left"/>
      <w:pPr>
        <w:ind w:left="4320" w:hanging="360"/>
      </w:pPr>
      <w:rPr>
        <w:rFonts w:ascii="Wingdings" w:hAnsi="Wingdings" w:hint="default"/>
      </w:rPr>
    </w:lvl>
    <w:lvl w:ilvl="6" w:tplc="99A601F4" w:tentative="1">
      <w:start w:val="1"/>
      <w:numFmt w:val="bullet"/>
      <w:lvlText w:val=""/>
      <w:lvlJc w:val="left"/>
      <w:pPr>
        <w:ind w:left="5040" w:hanging="360"/>
      </w:pPr>
      <w:rPr>
        <w:rFonts w:ascii="Symbol" w:hAnsi="Symbol" w:hint="default"/>
      </w:rPr>
    </w:lvl>
    <w:lvl w:ilvl="7" w:tplc="55FE8014" w:tentative="1">
      <w:start w:val="1"/>
      <w:numFmt w:val="bullet"/>
      <w:lvlText w:val="o"/>
      <w:lvlJc w:val="left"/>
      <w:pPr>
        <w:ind w:left="5760" w:hanging="360"/>
      </w:pPr>
      <w:rPr>
        <w:rFonts w:ascii="Courier New" w:hAnsi="Courier New" w:cs="Courier New" w:hint="default"/>
      </w:rPr>
    </w:lvl>
    <w:lvl w:ilvl="8" w:tplc="F9AE1816" w:tentative="1">
      <w:start w:val="1"/>
      <w:numFmt w:val="bullet"/>
      <w:lvlText w:val=""/>
      <w:lvlJc w:val="left"/>
      <w:pPr>
        <w:ind w:left="6480" w:hanging="360"/>
      </w:pPr>
      <w:rPr>
        <w:rFonts w:ascii="Wingdings" w:hAnsi="Wingdings" w:hint="default"/>
      </w:rPr>
    </w:lvl>
  </w:abstractNum>
  <w:abstractNum w:abstractNumId="33" w15:restartNumberingAfterBreak="0">
    <w:nsid w:val="57D4277B"/>
    <w:multiLevelType w:val="hybridMultilevel"/>
    <w:tmpl w:val="A90EED00"/>
    <w:lvl w:ilvl="0" w:tplc="672805E8">
      <w:start w:val="1"/>
      <w:numFmt w:val="bullet"/>
      <w:lvlText w:val=""/>
      <w:lvlJc w:val="left"/>
      <w:pPr>
        <w:ind w:left="1287" w:hanging="360"/>
      </w:pPr>
      <w:rPr>
        <w:rFonts w:ascii="Symbol" w:hAnsi="Symbol" w:hint="default"/>
        <w:sz w:val="24"/>
      </w:rPr>
    </w:lvl>
    <w:lvl w:ilvl="1" w:tplc="14DEFE6C" w:tentative="1">
      <w:start w:val="1"/>
      <w:numFmt w:val="bullet"/>
      <w:lvlText w:val="o"/>
      <w:lvlJc w:val="left"/>
      <w:pPr>
        <w:ind w:left="2007" w:hanging="360"/>
      </w:pPr>
      <w:rPr>
        <w:rFonts w:ascii="Courier New" w:hAnsi="Courier New" w:cs="Courier New" w:hint="default"/>
      </w:rPr>
    </w:lvl>
    <w:lvl w:ilvl="2" w:tplc="1BFE5CD6" w:tentative="1">
      <w:start w:val="1"/>
      <w:numFmt w:val="bullet"/>
      <w:lvlText w:val=""/>
      <w:lvlJc w:val="left"/>
      <w:pPr>
        <w:ind w:left="2727" w:hanging="360"/>
      </w:pPr>
      <w:rPr>
        <w:rFonts w:ascii="Wingdings" w:hAnsi="Wingdings" w:hint="default"/>
      </w:rPr>
    </w:lvl>
    <w:lvl w:ilvl="3" w:tplc="0D84EA2C" w:tentative="1">
      <w:start w:val="1"/>
      <w:numFmt w:val="bullet"/>
      <w:lvlText w:val=""/>
      <w:lvlJc w:val="left"/>
      <w:pPr>
        <w:ind w:left="3447" w:hanging="360"/>
      </w:pPr>
      <w:rPr>
        <w:rFonts w:ascii="Symbol" w:hAnsi="Symbol" w:hint="default"/>
      </w:rPr>
    </w:lvl>
    <w:lvl w:ilvl="4" w:tplc="5F0E089A" w:tentative="1">
      <w:start w:val="1"/>
      <w:numFmt w:val="bullet"/>
      <w:lvlText w:val="o"/>
      <w:lvlJc w:val="left"/>
      <w:pPr>
        <w:ind w:left="4167" w:hanging="360"/>
      </w:pPr>
      <w:rPr>
        <w:rFonts w:ascii="Courier New" w:hAnsi="Courier New" w:cs="Courier New" w:hint="default"/>
      </w:rPr>
    </w:lvl>
    <w:lvl w:ilvl="5" w:tplc="6F6CEC18" w:tentative="1">
      <w:start w:val="1"/>
      <w:numFmt w:val="bullet"/>
      <w:lvlText w:val=""/>
      <w:lvlJc w:val="left"/>
      <w:pPr>
        <w:ind w:left="4887" w:hanging="360"/>
      </w:pPr>
      <w:rPr>
        <w:rFonts w:ascii="Wingdings" w:hAnsi="Wingdings" w:hint="default"/>
      </w:rPr>
    </w:lvl>
    <w:lvl w:ilvl="6" w:tplc="09BA9732" w:tentative="1">
      <w:start w:val="1"/>
      <w:numFmt w:val="bullet"/>
      <w:lvlText w:val=""/>
      <w:lvlJc w:val="left"/>
      <w:pPr>
        <w:ind w:left="5607" w:hanging="360"/>
      </w:pPr>
      <w:rPr>
        <w:rFonts w:ascii="Symbol" w:hAnsi="Symbol" w:hint="default"/>
      </w:rPr>
    </w:lvl>
    <w:lvl w:ilvl="7" w:tplc="06D2E6F2" w:tentative="1">
      <w:start w:val="1"/>
      <w:numFmt w:val="bullet"/>
      <w:lvlText w:val="o"/>
      <w:lvlJc w:val="left"/>
      <w:pPr>
        <w:ind w:left="6327" w:hanging="360"/>
      </w:pPr>
      <w:rPr>
        <w:rFonts w:ascii="Courier New" w:hAnsi="Courier New" w:cs="Courier New" w:hint="default"/>
      </w:rPr>
    </w:lvl>
    <w:lvl w:ilvl="8" w:tplc="824C36DA" w:tentative="1">
      <w:start w:val="1"/>
      <w:numFmt w:val="bullet"/>
      <w:lvlText w:val=""/>
      <w:lvlJc w:val="left"/>
      <w:pPr>
        <w:ind w:left="7047" w:hanging="360"/>
      </w:pPr>
      <w:rPr>
        <w:rFonts w:ascii="Wingdings" w:hAnsi="Wingdings" w:hint="default"/>
      </w:rPr>
    </w:lvl>
  </w:abstractNum>
  <w:abstractNum w:abstractNumId="34" w15:restartNumberingAfterBreak="0">
    <w:nsid w:val="5B296D3F"/>
    <w:multiLevelType w:val="hybridMultilevel"/>
    <w:tmpl w:val="F2FC5598"/>
    <w:lvl w:ilvl="0" w:tplc="2CA04CBE">
      <w:start w:val="1"/>
      <w:numFmt w:val="bullet"/>
      <w:lvlText w:val=""/>
      <w:lvlJc w:val="left"/>
      <w:pPr>
        <w:ind w:left="1287" w:hanging="360"/>
      </w:pPr>
      <w:rPr>
        <w:rFonts w:ascii="Symbol" w:hAnsi="Symbol" w:hint="default"/>
        <w:sz w:val="24"/>
      </w:rPr>
    </w:lvl>
    <w:lvl w:ilvl="1" w:tplc="9A9E0DAA">
      <w:numFmt w:val="bullet"/>
      <w:lvlText w:val="-"/>
      <w:lvlJc w:val="left"/>
      <w:pPr>
        <w:ind w:left="2007" w:hanging="360"/>
      </w:pPr>
      <w:rPr>
        <w:rFonts w:ascii="Times New Roman" w:eastAsiaTheme="minorHAnsi" w:hAnsi="Times New Roman" w:cs="Times New Roman" w:hint="default"/>
      </w:rPr>
    </w:lvl>
    <w:lvl w:ilvl="2" w:tplc="8D126438" w:tentative="1">
      <w:start w:val="1"/>
      <w:numFmt w:val="bullet"/>
      <w:lvlText w:val=""/>
      <w:lvlJc w:val="left"/>
      <w:pPr>
        <w:ind w:left="2727" w:hanging="360"/>
      </w:pPr>
      <w:rPr>
        <w:rFonts w:ascii="Wingdings" w:hAnsi="Wingdings" w:hint="default"/>
      </w:rPr>
    </w:lvl>
    <w:lvl w:ilvl="3" w:tplc="3B4C51BC" w:tentative="1">
      <w:start w:val="1"/>
      <w:numFmt w:val="bullet"/>
      <w:lvlText w:val=""/>
      <w:lvlJc w:val="left"/>
      <w:pPr>
        <w:ind w:left="3447" w:hanging="360"/>
      </w:pPr>
      <w:rPr>
        <w:rFonts w:ascii="Symbol" w:hAnsi="Symbol" w:hint="default"/>
      </w:rPr>
    </w:lvl>
    <w:lvl w:ilvl="4" w:tplc="1A84AD06" w:tentative="1">
      <w:start w:val="1"/>
      <w:numFmt w:val="bullet"/>
      <w:lvlText w:val="o"/>
      <w:lvlJc w:val="left"/>
      <w:pPr>
        <w:ind w:left="4167" w:hanging="360"/>
      </w:pPr>
      <w:rPr>
        <w:rFonts w:ascii="Courier New" w:hAnsi="Courier New" w:cs="Courier New" w:hint="default"/>
      </w:rPr>
    </w:lvl>
    <w:lvl w:ilvl="5" w:tplc="4F246EB4" w:tentative="1">
      <w:start w:val="1"/>
      <w:numFmt w:val="bullet"/>
      <w:lvlText w:val=""/>
      <w:lvlJc w:val="left"/>
      <w:pPr>
        <w:ind w:left="4887" w:hanging="360"/>
      </w:pPr>
      <w:rPr>
        <w:rFonts w:ascii="Wingdings" w:hAnsi="Wingdings" w:hint="default"/>
      </w:rPr>
    </w:lvl>
    <w:lvl w:ilvl="6" w:tplc="54244526" w:tentative="1">
      <w:start w:val="1"/>
      <w:numFmt w:val="bullet"/>
      <w:lvlText w:val=""/>
      <w:lvlJc w:val="left"/>
      <w:pPr>
        <w:ind w:left="5607" w:hanging="360"/>
      </w:pPr>
      <w:rPr>
        <w:rFonts w:ascii="Symbol" w:hAnsi="Symbol" w:hint="default"/>
      </w:rPr>
    </w:lvl>
    <w:lvl w:ilvl="7" w:tplc="2FCE77C4" w:tentative="1">
      <w:start w:val="1"/>
      <w:numFmt w:val="bullet"/>
      <w:lvlText w:val="o"/>
      <w:lvlJc w:val="left"/>
      <w:pPr>
        <w:ind w:left="6327" w:hanging="360"/>
      </w:pPr>
      <w:rPr>
        <w:rFonts w:ascii="Courier New" w:hAnsi="Courier New" w:cs="Courier New" w:hint="default"/>
      </w:rPr>
    </w:lvl>
    <w:lvl w:ilvl="8" w:tplc="1346CB54" w:tentative="1">
      <w:start w:val="1"/>
      <w:numFmt w:val="bullet"/>
      <w:lvlText w:val=""/>
      <w:lvlJc w:val="left"/>
      <w:pPr>
        <w:ind w:left="7047" w:hanging="360"/>
      </w:pPr>
      <w:rPr>
        <w:rFonts w:ascii="Wingdings" w:hAnsi="Wingdings" w:hint="default"/>
      </w:rPr>
    </w:lvl>
  </w:abstractNum>
  <w:abstractNum w:abstractNumId="35" w15:restartNumberingAfterBreak="0">
    <w:nsid w:val="5BA46A55"/>
    <w:multiLevelType w:val="multilevel"/>
    <w:tmpl w:val="C2246BEC"/>
    <w:lvl w:ilvl="0">
      <w:start w:val="1"/>
      <w:numFmt w:val="decimal"/>
      <w:lvlText w:val="%1)"/>
      <w:lvlJc w:val="left"/>
      <w:pPr>
        <w:tabs>
          <w:tab w:val="num" w:pos="928"/>
        </w:tabs>
        <w:ind w:left="928" w:hanging="360"/>
      </w:pPr>
      <w:rPr>
        <w:b w:val="0"/>
        <w:sz w:val="22"/>
        <w:szCs w:val="22"/>
      </w:rPr>
    </w:lvl>
    <w:lvl w:ilvl="1">
      <w:start w:val="1"/>
      <w:numFmt w:val="decimal"/>
      <w:lvlText w:val="%2)"/>
      <w:lvlJc w:val="left"/>
      <w:pPr>
        <w:tabs>
          <w:tab w:val="num" w:pos="858"/>
        </w:tabs>
        <w:ind w:left="858" w:hanging="432"/>
      </w:pPr>
      <w:rPr>
        <w:b/>
        <w:sz w:val="24"/>
        <w:szCs w:val="24"/>
      </w:rPr>
    </w:lvl>
    <w:lvl w:ilvl="2">
      <w:start w:val="1"/>
      <w:numFmt w:val="russianLower"/>
      <w:lvlText w:val="%3)"/>
      <w:lvlJc w:val="left"/>
      <w:pPr>
        <w:tabs>
          <w:tab w:val="num" w:pos="1004"/>
        </w:tabs>
        <w:ind w:left="788" w:hanging="504"/>
      </w:pPr>
      <w:rPr>
        <w:b w:val="0"/>
        <w:sz w:val="24"/>
        <w:szCs w:val="24"/>
      </w:r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36" w15:restartNumberingAfterBreak="0">
    <w:nsid w:val="5C560E0A"/>
    <w:multiLevelType w:val="hybridMultilevel"/>
    <w:tmpl w:val="1A7A2768"/>
    <w:lvl w:ilvl="0" w:tplc="BEC41BC6">
      <w:start w:val="1"/>
      <w:numFmt w:val="lowerRoman"/>
      <w:pStyle w:val="5"/>
      <w:lvlText w:val="%1."/>
      <w:lvlJc w:val="left"/>
      <w:pPr>
        <w:tabs>
          <w:tab w:val="num" w:pos="567"/>
        </w:tabs>
        <w:ind w:left="567" w:hanging="567"/>
      </w:pPr>
      <w:rPr>
        <w:rFonts w:ascii="Arial" w:hAnsi="Arial" w:cs="Arial" w:hint="default"/>
        <w:b/>
        <w:i/>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C1A6B782" w:tentative="1">
      <w:start w:val="1"/>
      <w:numFmt w:val="lowerLetter"/>
      <w:lvlText w:val="%2."/>
      <w:lvlJc w:val="left"/>
      <w:pPr>
        <w:tabs>
          <w:tab w:val="num" w:pos="1440"/>
        </w:tabs>
        <w:ind w:left="1440" w:hanging="360"/>
      </w:pPr>
    </w:lvl>
    <w:lvl w:ilvl="2" w:tplc="6B8C5016" w:tentative="1">
      <w:start w:val="1"/>
      <w:numFmt w:val="lowerRoman"/>
      <w:lvlText w:val="%3."/>
      <w:lvlJc w:val="right"/>
      <w:pPr>
        <w:tabs>
          <w:tab w:val="num" w:pos="2160"/>
        </w:tabs>
        <w:ind w:left="2160" w:hanging="180"/>
      </w:pPr>
    </w:lvl>
    <w:lvl w:ilvl="3" w:tplc="BB9CCF5E" w:tentative="1">
      <w:start w:val="1"/>
      <w:numFmt w:val="decimal"/>
      <w:lvlText w:val="%4."/>
      <w:lvlJc w:val="left"/>
      <w:pPr>
        <w:tabs>
          <w:tab w:val="num" w:pos="2880"/>
        </w:tabs>
        <w:ind w:left="2880" w:hanging="360"/>
      </w:pPr>
    </w:lvl>
    <w:lvl w:ilvl="4" w:tplc="C3C4C806" w:tentative="1">
      <w:start w:val="1"/>
      <w:numFmt w:val="lowerLetter"/>
      <w:lvlText w:val="%5."/>
      <w:lvlJc w:val="left"/>
      <w:pPr>
        <w:tabs>
          <w:tab w:val="num" w:pos="3600"/>
        </w:tabs>
        <w:ind w:left="3600" w:hanging="360"/>
      </w:pPr>
    </w:lvl>
    <w:lvl w:ilvl="5" w:tplc="20002B9A" w:tentative="1">
      <w:start w:val="1"/>
      <w:numFmt w:val="lowerRoman"/>
      <w:lvlText w:val="%6."/>
      <w:lvlJc w:val="right"/>
      <w:pPr>
        <w:tabs>
          <w:tab w:val="num" w:pos="4320"/>
        </w:tabs>
        <w:ind w:left="4320" w:hanging="180"/>
      </w:pPr>
    </w:lvl>
    <w:lvl w:ilvl="6" w:tplc="2C841140" w:tentative="1">
      <w:start w:val="1"/>
      <w:numFmt w:val="decimal"/>
      <w:lvlText w:val="%7."/>
      <w:lvlJc w:val="left"/>
      <w:pPr>
        <w:tabs>
          <w:tab w:val="num" w:pos="5040"/>
        </w:tabs>
        <w:ind w:left="5040" w:hanging="360"/>
      </w:pPr>
    </w:lvl>
    <w:lvl w:ilvl="7" w:tplc="22487F6C" w:tentative="1">
      <w:start w:val="1"/>
      <w:numFmt w:val="lowerLetter"/>
      <w:lvlText w:val="%8."/>
      <w:lvlJc w:val="left"/>
      <w:pPr>
        <w:tabs>
          <w:tab w:val="num" w:pos="5760"/>
        </w:tabs>
        <w:ind w:left="5760" w:hanging="360"/>
      </w:pPr>
    </w:lvl>
    <w:lvl w:ilvl="8" w:tplc="DBEEC984" w:tentative="1">
      <w:start w:val="1"/>
      <w:numFmt w:val="lowerRoman"/>
      <w:lvlText w:val="%9."/>
      <w:lvlJc w:val="right"/>
      <w:pPr>
        <w:tabs>
          <w:tab w:val="num" w:pos="6480"/>
        </w:tabs>
        <w:ind w:left="6480" w:hanging="180"/>
      </w:pPr>
    </w:lvl>
  </w:abstractNum>
  <w:abstractNum w:abstractNumId="37" w15:restartNumberingAfterBreak="0">
    <w:nsid w:val="5D2116A6"/>
    <w:multiLevelType w:val="hybridMultilevel"/>
    <w:tmpl w:val="124E7EFA"/>
    <w:lvl w:ilvl="0" w:tplc="8B1662C8">
      <w:start w:val="1"/>
      <w:numFmt w:val="decimal"/>
      <w:lvlText w:val="%1)"/>
      <w:lvlJc w:val="left"/>
      <w:pPr>
        <w:ind w:left="720" w:hanging="360"/>
      </w:pPr>
    </w:lvl>
    <w:lvl w:ilvl="1" w:tplc="10807052" w:tentative="1">
      <w:start w:val="1"/>
      <w:numFmt w:val="lowerLetter"/>
      <w:lvlText w:val="%2."/>
      <w:lvlJc w:val="left"/>
      <w:pPr>
        <w:ind w:left="1440" w:hanging="360"/>
      </w:pPr>
    </w:lvl>
    <w:lvl w:ilvl="2" w:tplc="8C4847C0" w:tentative="1">
      <w:start w:val="1"/>
      <w:numFmt w:val="lowerRoman"/>
      <w:lvlText w:val="%3."/>
      <w:lvlJc w:val="right"/>
      <w:pPr>
        <w:ind w:left="2160" w:hanging="180"/>
      </w:pPr>
    </w:lvl>
    <w:lvl w:ilvl="3" w:tplc="19402886" w:tentative="1">
      <w:start w:val="1"/>
      <w:numFmt w:val="decimal"/>
      <w:lvlText w:val="%4."/>
      <w:lvlJc w:val="left"/>
      <w:pPr>
        <w:ind w:left="2880" w:hanging="360"/>
      </w:pPr>
    </w:lvl>
    <w:lvl w:ilvl="4" w:tplc="E304A51E" w:tentative="1">
      <w:start w:val="1"/>
      <w:numFmt w:val="lowerLetter"/>
      <w:lvlText w:val="%5."/>
      <w:lvlJc w:val="left"/>
      <w:pPr>
        <w:ind w:left="3600" w:hanging="360"/>
      </w:pPr>
    </w:lvl>
    <w:lvl w:ilvl="5" w:tplc="E88842D0" w:tentative="1">
      <w:start w:val="1"/>
      <w:numFmt w:val="lowerRoman"/>
      <w:lvlText w:val="%6."/>
      <w:lvlJc w:val="right"/>
      <w:pPr>
        <w:ind w:left="4320" w:hanging="180"/>
      </w:pPr>
    </w:lvl>
    <w:lvl w:ilvl="6" w:tplc="72E41E82" w:tentative="1">
      <w:start w:val="1"/>
      <w:numFmt w:val="decimal"/>
      <w:lvlText w:val="%7."/>
      <w:lvlJc w:val="left"/>
      <w:pPr>
        <w:ind w:left="5040" w:hanging="360"/>
      </w:pPr>
    </w:lvl>
    <w:lvl w:ilvl="7" w:tplc="B212DA9E" w:tentative="1">
      <w:start w:val="1"/>
      <w:numFmt w:val="lowerLetter"/>
      <w:lvlText w:val="%8."/>
      <w:lvlJc w:val="left"/>
      <w:pPr>
        <w:ind w:left="5760" w:hanging="360"/>
      </w:pPr>
    </w:lvl>
    <w:lvl w:ilvl="8" w:tplc="94F89938" w:tentative="1">
      <w:start w:val="1"/>
      <w:numFmt w:val="lowerRoman"/>
      <w:lvlText w:val="%9."/>
      <w:lvlJc w:val="right"/>
      <w:pPr>
        <w:ind w:left="6480" w:hanging="180"/>
      </w:pPr>
    </w:lvl>
  </w:abstractNum>
  <w:abstractNum w:abstractNumId="38" w15:restartNumberingAfterBreak="0">
    <w:nsid w:val="5E0F2427"/>
    <w:multiLevelType w:val="hybridMultilevel"/>
    <w:tmpl w:val="1FF6A5E2"/>
    <w:lvl w:ilvl="0" w:tplc="870C6AD0">
      <w:start w:val="1"/>
      <w:numFmt w:val="decimal"/>
      <w:pStyle w:val="xl67"/>
      <w:lvlText w:val="%1."/>
      <w:lvlJc w:val="left"/>
      <w:pPr>
        <w:ind w:left="502" w:hanging="360"/>
      </w:pPr>
      <w:rPr>
        <w:rFonts w:ascii="Garamond" w:hAnsi="Garamond" w:hint="default"/>
        <w:b/>
        <w:sz w:val="22"/>
        <w:szCs w:val="22"/>
      </w:rPr>
    </w:lvl>
    <w:lvl w:ilvl="1" w:tplc="2F52B8B2">
      <w:start w:val="1"/>
      <w:numFmt w:val="lowerLetter"/>
      <w:lvlText w:val="%2."/>
      <w:lvlJc w:val="left"/>
      <w:pPr>
        <w:ind w:left="1440" w:hanging="360"/>
      </w:pPr>
    </w:lvl>
    <w:lvl w:ilvl="2" w:tplc="223CAFF2">
      <w:start w:val="1"/>
      <w:numFmt w:val="lowerRoman"/>
      <w:lvlText w:val="%3."/>
      <w:lvlJc w:val="right"/>
      <w:pPr>
        <w:ind w:left="2160" w:hanging="180"/>
      </w:pPr>
    </w:lvl>
    <w:lvl w:ilvl="3" w:tplc="8AD21510">
      <w:start w:val="1"/>
      <w:numFmt w:val="decimal"/>
      <w:lvlText w:val="%4."/>
      <w:lvlJc w:val="left"/>
      <w:pPr>
        <w:ind w:left="2880" w:hanging="360"/>
      </w:pPr>
    </w:lvl>
    <w:lvl w:ilvl="4" w:tplc="88E42186" w:tentative="1">
      <w:start w:val="1"/>
      <w:numFmt w:val="lowerLetter"/>
      <w:lvlText w:val="%5."/>
      <w:lvlJc w:val="left"/>
      <w:pPr>
        <w:ind w:left="3600" w:hanging="360"/>
      </w:pPr>
    </w:lvl>
    <w:lvl w:ilvl="5" w:tplc="7CBE122A" w:tentative="1">
      <w:start w:val="1"/>
      <w:numFmt w:val="lowerRoman"/>
      <w:lvlText w:val="%6."/>
      <w:lvlJc w:val="right"/>
      <w:pPr>
        <w:ind w:left="4320" w:hanging="180"/>
      </w:pPr>
    </w:lvl>
    <w:lvl w:ilvl="6" w:tplc="1F1E4CBC" w:tentative="1">
      <w:start w:val="1"/>
      <w:numFmt w:val="decimal"/>
      <w:lvlText w:val="%7."/>
      <w:lvlJc w:val="left"/>
      <w:pPr>
        <w:ind w:left="5040" w:hanging="360"/>
      </w:pPr>
    </w:lvl>
    <w:lvl w:ilvl="7" w:tplc="27CACFA4" w:tentative="1">
      <w:start w:val="1"/>
      <w:numFmt w:val="lowerLetter"/>
      <w:lvlText w:val="%8."/>
      <w:lvlJc w:val="left"/>
      <w:pPr>
        <w:ind w:left="5760" w:hanging="360"/>
      </w:pPr>
    </w:lvl>
    <w:lvl w:ilvl="8" w:tplc="488814E8" w:tentative="1">
      <w:start w:val="1"/>
      <w:numFmt w:val="lowerRoman"/>
      <w:lvlText w:val="%9."/>
      <w:lvlJc w:val="right"/>
      <w:pPr>
        <w:ind w:left="6480" w:hanging="180"/>
      </w:pPr>
    </w:lvl>
  </w:abstractNum>
  <w:abstractNum w:abstractNumId="39" w15:restartNumberingAfterBreak="0">
    <w:nsid w:val="639E6A6C"/>
    <w:multiLevelType w:val="hybridMultilevel"/>
    <w:tmpl w:val="0CF2EE98"/>
    <w:lvl w:ilvl="0" w:tplc="63E83A28">
      <w:start w:val="1"/>
      <w:numFmt w:val="bullet"/>
      <w:pStyle w:val="Report"/>
      <w:lvlText w:val=""/>
      <w:lvlJc w:val="left"/>
      <w:pPr>
        <w:ind w:left="720" w:hanging="360"/>
      </w:pPr>
      <w:rPr>
        <w:rFonts w:ascii="Symbol" w:hAnsi="Symbol" w:hint="default"/>
      </w:rPr>
    </w:lvl>
    <w:lvl w:ilvl="1" w:tplc="5CC8BEAC" w:tentative="1">
      <w:start w:val="1"/>
      <w:numFmt w:val="bullet"/>
      <w:lvlText w:val="o"/>
      <w:lvlJc w:val="left"/>
      <w:pPr>
        <w:ind w:left="1440" w:hanging="360"/>
      </w:pPr>
      <w:rPr>
        <w:rFonts w:ascii="Courier New" w:hAnsi="Courier New" w:cs="Courier New" w:hint="default"/>
      </w:rPr>
    </w:lvl>
    <w:lvl w:ilvl="2" w:tplc="6130E488" w:tentative="1">
      <w:start w:val="1"/>
      <w:numFmt w:val="bullet"/>
      <w:lvlText w:val=""/>
      <w:lvlJc w:val="left"/>
      <w:pPr>
        <w:ind w:left="2160" w:hanging="360"/>
      </w:pPr>
      <w:rPr>
        <w:rFonts w:ascii="Wingdings" w:hAnsi="Wingdings" w:hint="default"/>
      </w:rPr>
    </w:lvl>
    <w:lvl w:ilvl="3" w:tplc="DC5AE76A" w:tentative="1">
      <w:start w:val="1"/>
      <w:numFmt w:val="bullet"/>
      <w:lvlText w:val=""/>
      <w:lvlJc w:val="left"/>
      <w:pPr>
        <w:ind w:left="2880" w:hanging="360"/>
      </w:pPr>
      <w:rPr>
        <w:rFonts w:ascii="Symbol" w:hAnsi="Symbol" w:hint="default"/>
      </w:rPr>
    </w:lvl>
    <w:lvl w:ilvl="4" w:tplc="8FE0209C" w:tentative="1">
      <w:start w:val="1"/>
      <w:numFmt w:val="bullet"/>
      <w:lvlText w:val="o"/>
      <w:lvlJc w:val="left"/>
      <w:pPr>
        <w:ind w:left="3600" w:hanging="360"/>
      </w:pPr>
      <w:rPr>
        <w:rFonts w:ascii="Courier New" w:hAnsi="Courier New" w:cs="Courier New" w:hint="default"/>
      </w:rPr>
    </w:lvl>
    <w:lvl w:ilvl="5" w:tplc="4D74EAAC" w:tentative="1">
      <w:start w:val="1"/>
      <w:numFmt w:val="bullet"/>
      <w:lvlText w:val=""/>
      <w:lvlJc w:val="left"/>
      <w:pPr>
        <w:ind w:left="4320" w:hanging="360"/>
      </w:pPr>
      <w:rPr>
        <w:rFonts w:ascii="Wingdings" w:hAnsi="Wingdings" w:hint="default"/>
      </w:rPr>
    </w:lvl>
    <w:lvl w:ilvl="6" w:tplc="7E0E63F8" w:tentative="1">
      <w:start w:val="1"/>
      <w:numFmt w:val="bullet"/>
      <w:lvlText w:val=""/>
      <w:lvlJc w:val="left"/>
      <w:pPr>
        <w:ind w:left="5040" w:hanging="360"/>
      </w:pPr>
      <w:rPr>
        <w:rFonts w:ascii="Symbol" w:hAnsi="Symbol" w:hint="default"/>
      </w:rPr>
    </w:lvl>
    <w:lvl w:ilvl="7" w:tplc="9A66A41C" w:tentative="1">
      <w:start w:val="1"/>
      <w:numFmt w:val="bullet"/>
      <w:lvlText w:val="o"/>
      <w:lvlJc w:val="left"/>
      <w:pPr>
        <w:ind w:left="5760" w:hanging="360"/>
      </w:pPr>
      <w:rPr>
        <w:rFonts w:ascii="Courier New" w:hAnsi="Courier New" w:cs="Courier New" w:hint="default"/>
      </w:rPr>
    </w:lvl>
    <w:lvl w:ilvl="8" w:tplc="75780E60" w:tentative="1">
      <w:start w:val="1"/>
      <w:numFmt w:val="bullet"/>
      <w:lvlText w:val=""/>
      <w:lvlJc w:val="left"/>
      <w:pPr>
        <w:ind w:left="6480" w:hanging="360"/>
      </w:pPr>
      <w:rPr>
        <w:rFonts w:ascii="Wingdings" w:hAnsi="Wingdings" w:hint="default"/>
      </w:rPr>
    </w:lvl>
  </w:abstractNum>
  <w:abstractNum w:abstractNumId="40" w15:restartNumberingAfterBreak="0">
    <w:nsid w:val="66BE48DB"/>
    <w:multiLevelType w:val="multilevel"/>
    <w:tmpl w:val="9634D3BA"/>
    <w:lvl w:ilvl="0">
      <w:start w:val="1"/>
      <w:numFmt w:val="bullet"/>
      <w:lvlText w:val="‒"/>
      <w:lvlJc w:val="left"/>
      <w:pPr>
        <w:tabs>
          <w:tab w:val="num" w:pos="707"/>
        </w:tabs>
        <w:ind w:left="707" w:hanging="283"/>
      </w:pPr>
      <w:rPr>
        <w:rFonts w:ascii="Times New Roman" w:hAnsi="Times New Roman" w:cs="Times New Roman"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1" w15:restartNumberingAfterBreak="0">
    <w:nsid w:val="69BC2001"/>
    <w:multiLevelType w:val="singleLevel"/>
    <w:tmpl w:val="A3D25F18"/>
    <w:lvl w:ilvl="0">
      <w:start w:val="1"/>
      <w:numFmt w:val="bullet"/>
      <w:pStyle w:val="ABCNotes"/>
      <w:lvlText w:val=""/>
      <w:lvlJc w:val="left"/>
      <w:pPr>
        <w:tabs>
          <w:tab w:val="num" w:pos="360"/>
        </w:tabs>
        <w:ind w:left="360" w:hanging="360"/>
      </w:pPr>
      <w:rPr>
        <w:rFonts w:ascii="Symbol" w:hAnsi="Symbol" w:hint="default"/>
      </w:rPr>
    </w:lvl>
  </w:abstractNum>
  <w:abstractNum w:abstractNumId="42" w15:restartNumberingAfterBreak="0">
    <w:nsid w:val="6E311BCB"/>
    <w:multiLevelType w:val="hybridMultilevel"/>
    <w:tmpl w:val="6EDA1144"/>
    <w:lvl w:ilvl="0" w:tplc="74A69370">
      <w:start w:val="1"/>
      <w:numFmt w:val="bullet"/>
      <w:pStyle w:val="body"/>
      <w:lvlText w:val="·"/>
      <w:lvlJc w:val="left"/>
      <w:pPr>
        <w:tabs>
          <w:tab w:val="num" w:pos="425"/>
        </w:tabs>
        <w:ind w:left="425" w:hanging="425"/>
      </w:pPr>
      <w:rPr>
        <w:rFonts w:ascii="Symbol" w:hAnsi="Symbol" w:hint="default"/>
        <w:color w:val="auto"/>
        <w:sz w:val="22"/>
        <w:lang w:val="ru-RU"/>
      </w:rPr>
    </w:lvl>
    <w:lvl w:ilvl="1" w:tplc="9D52CF8A" w:tentative="1">
      <w:start w:val="1"/>
      <w:numFmt w:val="bullet"/>
      <w:lvlText w:val="o"/>
      <w:lvlJc w:val="left"/>
      <w:pPr>
        <w:tabs>
          <w:tab w:val="num" w:pos="1440"/>
        </w:tabs>
        <w:ind w:left="1440" w:hanging="360"/>
      </w:pPr>
      <w:rPr>
        <w:rFonts w:ascii="Courier New" w:hAnsi="Courier New" w:cs="Courier New" w:hint="default"/>
      </w:rPr>
    </w:lvl>
    <w:lvl w:ilvl="2" w:tplc="78F4AA9A" w:tentative="1">
      <w:start w:val="1"/>
      <w:numFmt w:val="bullet"/>
      <w:lvlText w:val=""/>
      <w:lvlJc w:val="left"/>
      <w:pPr>
        <w:tabs>
          <w:tab w:val="num" w:pos="2160"/>
        </w:tabs>
        <w:ind w:left="2160" w:hanging="360"/>
      </w:pPr>
      <w:rPr>
        <w:rFonts w:ascii="Wingdings" w:hAnsi="Wingdings" w:hint="default"/>
      </w:rPr>
    </w:lvl>
    <w:lvl w:ilvl="3" w:tplc="8190F852" w:tentative="1">
      <w:start w:val="1"/>
      <w:numFmt w:val="bullet"/>
      <w:lvlText w:val=""/>
      <w:lvlJc w:val="left"/>
      <w:pPr>
        <w:tabs>
          <w:tab w:val="num" w:pos="2880"/>
        </w:tabs>
        <w:ind w:left="2880" w:hanging="360"/>
      </w:pPr>
      <w:rPr>
        <w:rFonts w:ascii="Symbol" w:hAnsi="Symbol" w:hint="default"/>
      </w:rPr>
    </w:lvl>
    <w:lvl w:ilvl="4" w:tplc="0AACE192" w:tentative="1">
      <w:start w:val="1"/>
      <w:numFmt w:val="bullet"/>
      <w:lvlText w:val="o"/>
      <w:lvlJc w:val="left"/>
      <w:pPr>
        <w:tabs>
          <w:tab w:val="num" w:pos="3600"/>
        </w:tabs>
        <w:ind w:left="3600" w:hanging="360"/>
      </w:pPr>
      <w:rPr>
        <w:rFonts w:ascii="Courier New" w:hAnsi="Courier New" w:cs="Courier New" w:hint="default"/>
      </w:rPr>
    </w:lvl>
    <w:lvl w:ilvl="5" w:tplc="5350AC1A" w:tentative="1">
      <w:start w:val="1"/>
      <w:numFmt w:val="bullet"/>
      <w:lvlText w:val=""/>
      <w:lvlJc w:val="left"/>
      <w:pPr>
        <w:tabs>
          <w:tab w:val="num" w:pos="4320"/>
        </w:tabs>
        <w:ind w:left="4320" w:hanging="360"/>
      </w:pPr>
      <w:rPr>
        <w:rFonts w:ascii="Wingdings" w:hAnsi="Wingdings" w:hint="default"/>
      </w:rPr>
    </w:lvl>
    <w:lvl w:ilvl="6" w:tplc="159ED41E" w:tentative="1">
      <w:start w:val="1"/>
      <w:numFmt w:val="bullet"/>
      <w:lvlText w:val=""/>
      <w:lvlJc w:val="left"/>
      <w:pPr>
        <w:tabs>
          <w:tab w:val="num" w:pos="5040"/>
        </w:tabs>
        <w:ind w:left="5040" w:hanging="360"/>
      </w:pPr>
      <w:rPr>
        <w:rFonts w:ascii="Symbol" w:hAnsi="Symbol" w:hint="default"/>
      </w:rPr>
    </w:lvl>
    <w:lvl w:ilvl="7" w:tplc="30B4C9D2" w:tentative="1">
      <w:start w:val="1"/>
      <w:numFmt w:val="bullet"/>
      <w:lvlText w:val="o"/>
      <w:lvlJc w:val="left"/>
      <w:pPr>
        <w:tabs>
          <w:tab w:val="num" w:pos="5760"/>
        </w:tabs>
        <w:ind w:left="5760" w:hanging="360"/>
      </w:pPr>
      <w:rPr>
        <w:rFonts w:ascii="Courier New" w:hAnsi="Courier New" w:cs="Courier New" w:hint="default"/>
      </w:rPr>
    </w:lvl>
    <w:lvl w:ilvl="8" w:tplc="F378FD4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817CD0"/>
    <w:multiLevelType w:val="hybridMultilevel"/>
    <w:tmpl w:val="2DB498FE"/>
    <w:lvl w:ilvl="0" w:tplc="D9949764">
      <w:start w:val="1"/>
      <w:numFmt w:val="bullet"/>
      <w:pStyle w:val="a0"/>
      <w:lvlText w:val=""/>
      <w:lvlJc w:val="left"/>
      <w:pPr>
        <w:ind w:left="720" w:hanging="360"/>
      </w:pPr>
      <w:rPr>
        <w:rFonts w:ascii="Wingdings" w:hAnsi="Wingdings" w:hint="default"/>
      </w:rPr>
    </w:lvl>
    <w:lvl w:ilvl="1" w:tplc="798EB4EC" w:tentative="1">
      <w:start w:val="1"/>
      <w:numFmt w:val="bullet"/>
      <w:lvlText w:val="o"/>
      <w:lvlJc w:val="left"/>
      <w:pPr>
        <w:ind w:left="1440" w:hanging="360"/>
      </w:pPr>
      <w:rPr>
        <w:rFonts w:ascii="Courier New" w:hAnsi="Courier New" w:cs="Courier New" w:hint="default"/>
      </w:rPr>
    </w:lvl>
    <w:lvl w:ilvl="2" w:tplc="5F386452" w:tentative="1">
      <w:start w:val="1"/>
      <w:numFmt w:val="bullet"/>
      <w:lvlText w:val=""/>
      <w:lvlJc w:val="left"/>
      <w:pPr>
        <w:ind w:left="2160" w:hanging="360"/>
      </w:pPr>
      <w:rPr>
        <w:rFonts w:ascii="Wingdings" w:hAnsi="Wingdings" w:hint="default"/>
      </w:rPr>
    </w:lvl>
    <w:lvl w:ilvl="3" w:tplc="077A374A" w:tentative="1">
      <w:start w:val="1"/>
      <w:numFmt w:val="bullet"/>
      <w:lvlText w:val=""/>
      <w:lvlJc w:val="left"/>
      <w:pPr>
        <w:ind w:left="2880" w:hanging="360"/>
      </w:pPr>
      <w:rPr>
        <w:rFonts w:ascii="Symbol" w:hAnsi="Symbol" w:hint="default"/>
      </w:rPr>
    </w:lvl>
    <w:lvl w:ilvl="4" w:tplc="619AC7B8" w:tentative="1">
      <w:start w:val="1"/>
      <w:numFmt w:val="bullet"/>
      <w:lvlText w:val="o"/>
      <w:lvlJc w:val="left"/>
      <w:pPr>
        <w:ind w:left="3600" w:hanging="360"/>
      </w:pPr>
      <w:rPr>
        <w:rFonts w:ascii="Courier New" w:hAnsi="Courier New" w:cs="Courier New" w:hint="default"/>
      </w:rPr>
    </w:lvl>
    <w:lvl w:ilvl="5" w:tplc="56A216E4" w:tentative="1">
      <w:start w:val="1"/>
      <w:numFmt w:val="bullet"/>
      <w:lvlText w:val=""/>
      <w:lvlJc w:val="left"/>
      <w:pPr>
        <w:ind w:left="4320" w:hanging="360"/>
      </w:pPr>
      <w:rPr>
        <w:rFonts w:ascii="Wingdings" w:hAnsi="Wingdings" w:hint="default"/>
      </w:rPr>
    </w:lvl>
    <w:lvl w:ilvl="6" w:tplc="81588C02" w:tentative="1">
      <w:start w:val="1"/>
      <w:numFmt w:val="bullet"/>
      <w:lvlText w:val=""/>
      <w:lvlJc w:val="left"/>
      <w:pPr>
        <w:ind w:left="5040" w:hanging="360"/>
      </w:pPr>
      <w:rPr>
        <w:rFonts w:ascii="Symbol" w:hAnsi="Symbol" w:hint="default"/>
      </w:rPr>
    </w:lvl>
    <w:lvl w:ilvl="7" w:tplc="9580C802" w:tentative="1">
      <w:start w:val="1"/>
      <w:numFmt w:val="bullet"/>
      <w:lvlText w:val="o"/>
      <w:lvlJc w:val="left"/>
      <w:pPr>
        <w:ind w:left="5760" w:hanging="360"/>
      </w:pPr>
      <w:rPr>
        <w:rFonts w:ascii="Courier New" w:hAnsi="Courier New" w:cs="Courier New" w:hint="default"/>
      </w:rPr>
    </w:lvl>
    <w:lvl w:ilvl="8" w:tplc="7F80CA90" w:tentative="1">
      <w:start w:val="1"/>
      <w:numFmt w:val="bullet"/>
      <w:lvlText w:val=""/>
      <w:lvlJc w:val="left"/>
      <w:pPr>
        <w:ind w:left="6480" w:hanging="360"/>
      </w:pPr>
      <w:rPr>
        <w:rFonts w:ascii="Wingdings" w:hAnsi="Wingdings" w:hint="default"/>
      </w:rPr>
    </w:lvl>
  </w:abstractNum>
  <w:abstractNum w:abstractNumId="44" w15:restartNumberingAfterBreak="0">
    <w:nsid w:val="763E7E8B"/>
    <w:multiLevelType w:val="hybridMultilevel"/>
    <w:tmpl w:val="3FFCFF2A"/>
    <w:lvl w:ilvl="0" w:tplc="75523AD6">
      <w:start w:val="1"/>
      <w:numFmt w:val="bullet"/>
      <w:lvlText w:val=""/>
      <w:lvlJc w:val="left"/>
      <w:pPr>
        <w:ind w:left="1429" w:hanging="360"/>
      </w:pPr>
      <w:rPr>
        <w:rFonts w:ascii="Symbol" w:hAnsi="Symbol" w:hint="default"/>
      </w:rPr>
    </w:lvl>
    <w:lvl w:ilvl="1" w:tplc="90E64402" w:tentative="1">
      <w:start w:val="1"/>
      <w:numFmt w:val="bullet"/>
      <w:lvlText w:val="o"/>
      <w:lvlJc w:val="left"/>
      <w:pPr>
        <w:ind w:left="2149" w:hanging="360"/>
      </w:pPr>
      <w:rPr>
        <w:rFonts w:ascii="Courier New" w:hAnsi="Courier New" w:cs="Courier New" w:hint="default"/>
      </w:rPr>
    </w:lvl>
    <w:lvl w:ilvl="2" w:tplc="7572FBCC" w:tentative="1">
      <w:start w:val="1"/>
      <w:numFmt w:val="bullet"/>
      <w:lvlText w:val=""/>
      <w:lvlJc w:val="left"/>
      <w:pPr>
        <w:ind w:left="2869" w:hanging="360"/>
      </w:pPr>
      <w:rPr>
        <w:rFonts w:ascii="Wingdings" w:hAnsi="Wingdings" w:hint="default"/>
      </w:rPr>
    </w:lvl>
    <w:lvl w:ilvl="3" w:tplc="5C9A1E40" w:tentative="1">
      <w:start w:val="1"/>
      <w:numFmt w:val="bullet"/>
      <w:lvlText w:val=""/>
      <w:lvlJc w:val="left"/>
      <w:pPr>
        <w:ind w:left="3589" w:hanging="360"/>
      </w:pPr>
      <w:rPr>
        <w:rFonts w:ascii="Symbol" w:hAnsi="Symbol" w:hint="default"/>
      </w:rPr>
    </w:lvl>
    <w:lvl w:ilvl="4" w:tplc="E73EE7E4" w:tentative="1">
      <w:start w:val="1"/>
      <w:numFmt w:val="bullet"/>
      <w:lvlText w:val="o"/>
      <w:lvlJc w:val="left"/>
      <w:pPr>
        <w:ind w:left="4309" w:hanging="360"/>
      </w:pPr>
      <w:rPr>
        <w:rFonts w:ascii="Courier New" w:hAnsi="Courier New" w:cs="Courier New" w:hint="default"/>
      </w:rPr>
    </w:lvl>
    <w:lvl w:ilvl="5" w:tplc="DC449A82" w:tentative="1">
      <w:start w:val="1"/>
      <w:numFmt w:val="bullet"/>
      <w:lvlText w:val=""/>
      <w:lvlJc w:val="left"/>
      <w:pPr>
        <w:ind w:left="5029" w:hanging="360"/>
      </w:pPr>
      <w:rPr>
        <w:rFonts w:ascii="Wingdings" w:hAnsi="Wingdings" w:hint="default"/>
      </w:rPr>
    </w:lvl>
    <w:lvl w:ilvl="6" w:tplc="EF04ED62" w:tentative="1">
      <w:start w:val="1"/>
      <w:numFmt w:val="bullet"/>
      <w:lvlText w:val=""/>
      <w:lvlJc w:val="left"/>
      <w:pPr>
        <w:ind w:left="5749" w:hanging="360"/>
      </w:pPr>
      <w:rPr>
        <w:rFonts w:ascii="Symbol" w:hAnsi="Symbol" w:hint="default"/>
      </w:rPr>
    </w:lvl>
    <w:lvl w:ilvl="7" w:tplc="5D96DB08" w:tentative="1">
      <w:start w:val="1"/>
      <w:numFmt w:val="bullet"/>
      <w:lvlText w:val="o"/>
      <w:lvlJc w:val="left"/>
      <w:pPr>
        <w:ind w:left="6469" w:hanging="360"/>
      </w:pPr>
      <w:rPr>
        <w:rFonts w:ascii="Courier New" w:hAnsi="Courier New" w:cs="Courier New" w:hint="default"/>
      </w:rPr>
    </w:lvl>
    <w:lvl w:ilvl="8" w:tplc="7B0AB568" w:tentative="1">
      <w:start w:val="1"/>
      <w:numFmt w:val="bullet"/>
      <w:lvlText w:val=""/>
      <w:lvlJc w:val="left"/>
      <w:pPr>
        <w:ind w:left="7189" w:hanging="360"/>
      </w:pPr>
      <w:rPr>
        <w:rFonts w:ascii="Wingdings" w:hAnsi="Wingdings" w:hint="default"/>
      </w:rPr>
    </w:lvl>
  </w:abstractNum>
  <w:abstractNum w:abstractNumId="45" w15:restartNumberingAfterBreak="0">
    <w:nsid w:val="7EDC100E"/>
    <w:multiLevelType w:val="hybridMultilevel"/>
    <w:tmpl w:val="649ADC4A"/>
    <w:lvl w:ilvl="0" w:tplc="0FB61572">
      <w:start w:val="1"/>
      <w:numFmt w:val="decimal"/>
      <w:pStyle w:val="a1"/>
      <w:lvlText w:val="%1."/>
      <w:lvlJc w:val="left"/>
      <w:pPr>
        <w:tabs>
          <w:tab w:val="num" w:pos="710"/>
        </w:tabs>
        <w:ind w:left="143" w:firstLine="567"/>
      </w:pPr>
      <w:rPr>
        <w:b w:val="0"/>
        <w:color w:val="auto"/>
        <w:sz w:val="24"/>
      </w:rPr>
    </w:lvl>
    <w:lvl w:ilvl="1" w:tplc="F7C8582C">
      <w:start w:val="1"/>
      <w:numFmt w:val="decimal"/>
      <w:lvlText w:val="%2)"/>
      <w:lvlJc w:val="left"/>
      <w:pPr>
        <w:ind w:left="1650" w:hanging="930"/>
      </w:pPr>
    </w:lvl>
    <w:lvl w:ilvl="2" w:tplc="FF228810">
      <w:start w:val="1"/>
      <w:numFmt w:val="lowerRoman"/>
      <w:lvlText w:val="%3."/>
      <w:lvlJc w:val="right"/>
      <w:pPr>
        <w:ind w:left="2367" w:hanging="180"/>
      </w:pPr>
    </w:lvl>
    <w:lvl w:ilvl="3" w:tplc="512A28E2">
      <w:start w:val="1"/>
      <w:numFmt w:val="decimal"/>
      <w:lvlText w:val="%4."/>
      <w:lvlJc w:val="left"/>
      <w:pPr>
        <w:ind w:left="3087" w:hanging="360"/>
      </w:pPr>
    </w:lvl>
    <w:lvl w:ilvl="4" w:tplc="F4C6EADE">
      <w:start w:val="1"/>
      <w:numFmt w:val="lowerLetter"/>
      <w:lvlText w:val="%5."/>
      <w:lvlJc w:val="left"/>
      <w:pPr>
        <w:ind w:left="3807" w:hanging="360"/>
      </w:pPr>
    </w:lvl>
    <w:lvl w:ilvl="5" w:tplc="C85AC38E">
      <w:start w:val="1"/>
      <w:numFmt w:val="lowerRoman"/>
      <w:lvlText w:val="%6."/>
      <w:lvlJc w:val="right"/>
      <w:pPr>
        <w:ind w:left="4527" w:hanging="180"/>
      </w:pPr>
    </w:lvl>
    <w:lvl w:ilvl="6" w:tplc="920C4E88">
      <w:start w:val="1"/>
      <w:numFmt w:val="decimal"/>
      <w:lvlText w:val="%7."/>
      <w:lvlJc w:val="left"/>
      <w:pPr>
        <w:ind w:left="5247" w:hanging="360"/>
      </w:pPr>
    </w:lvl>
    <w:lvl w:ilvl="7" w:tplc="5008BE5C">
      <w:start w:val="1"/>
      <w:numFmt w:val="lowerLetter"/>
      <w:lvlText w:val="%8."/>
      <w:lvlJc w:val="left"/>
      <w:pPr>
        <w:ind w:left="5967" w:hanging="360"/>
      </w:pPr>
    </w:lvl>
    <w:lvl w:ilvl="8" w:tplc="70FCD2B0">
      <w:start w:val="1"/>
      <w:numFmt w:val="lowerRoman"/>
      <w:lvlText w:val="%9."/>
      <w:lvlJc w:val="right"/>
      <w:pPr>
        <w:ind w:left="6687" w:hanging="180"/>
      </w:pPr>
    </w:lvl>
  </w:abstractNum>
  <w:abstractNum w:abstractNumId="46" w15:restartNumberingAfterBreak="0">
    <w:nsid w:val="7F8C7876"/>
    <w:multiLevelType w:val="hybridMultilevel"/>
    <w:tmpl w:val="3E28F548"/>
    <w:lvl w:ilvl="0" w:tplc="A2B466E2">
      <w:start w:val="1"/>
      <w:numFmt w:val="bullet"/>
      <w:pStyle w:val="bullet"/>
      <w:lvlText w:val=""/>
      <w:lvlJc w:val="left"/>
      <w:pPr>
        <w:ind w:left="720" w:hanging="360"/>
      </w:pPr>
      <w:rPr>
        <w:rFonts w:ascii="Wingdings" w:hAnsi="Wingdings" w:hint="default"/>
      </w:rPr>
    </w:lvl>
    <w:lvl w:ilvl="1" w:tplc="8056F52E" w:tentative="1">
      <w:start w:val="1"/>
      <w:numFmt w:val="bullet"/>
      <w:lvlText w:val="o"/>
      <w:lvlJc w:val="left"/>
      <w:pPr>
        <w:ind w:left="1440" w:hanging="360"/>
      </w:pPr>
      <w:rPr>
        <w:rFonts w:ascii="Courier New" w:hAnsi="Courier New" w:cs="Courier New" w:hint="default"/>
      </w:rPr>
    </w:lvl>
    <w:lvl w:ilvl="2" w:tplc="ADE6E6AA" w:tentative="1">
      <w:start w:val="1"/>
      <w:numFmt w:val="bullet"/>
      <w:lvlText w:val=""/>
      <w:lvlJc w:val="left"/>
      <w:pPr>
        <w:ind w:left="2160" w:hanging="360"/>
      </w:pPr>
      <w:rPr>
        <w:rFonts w:ascii="Wingdings" w:hAnsi="Wingdings" w:hint="default"/>
      </w:rPr>
    </w:lvl>
    <w:lvl w:ilvl="3" w:tplc="BFACCDC2" w:tentative="1">
      <w:start w:val="1"/>
      <w:numFmt w:val="bullet"/>
      <w:lvlText w:val=""/>
      <w:lvlJc w:val="left"/>
      <w:pPr>
        <w:ind w:left="2880" w:hanging="360"/>
      </w:pPr>
      <w:rPr>
        <w:rFonts w:ascii="Symbol" w:hAnsi="Symbol" w:hint="default"/>
      </w:rPr>
    </w:lvl>
    <w:lvl w:ilvl="4" w:tplc="17A459AE" w:tentative="1">
      <w:start w:val="1"/>
      <w:numFmt w:val="bullet"/>
      <w:lvlText w:val="o"/>
      <w:lvlJc w:val="left"/>
      <w:pPr>
        <w:ind w:left="3600" w:hanging="360"/>
      </w:pPr>
      <w:rPr>
        <w:rFonts w:ascii="Courier New" w:hAnsi="Courier New" w:cs="Courier New" w:hint="default"/>
      </w:rPr>
    </w:lvl>
    <w:lvl w:ilvl="5" w:tplc="C338DB56" w:tentative="1">
      <w:start w:val="1"/>
      <w:numFmt w:val="bullet"/>
      <w:lvlText w:val=""/>
      <w:lvlJc w:val="left"/>
      <w:pPr>
        <w:ind w:left="4320" w:hanging="360"/>
      </w:pPr>
      <w:rPr>
        <w:rFonts w:ascii="Wingdings" w:hAnsi="Wingdings" w:hint="default"/>
      </w:rPr>
    </w:lvl>
    <w:lvl w:ilvl="6" w:tplc="F55A12EC" w:tentative="1">
      <w:start w:val="1"/>
      <w:numFmt w:val="bullet"/>
      <w:lvlText w:val=""/>
      <w:lvlJc w:val="left"/>
      <w:pPr>
        <w:ind w:left="5040" w:hanging="360"/>
      </w:pPr>
      <w:rPr>
        <w:rFonts w:ascii="Symbol" w:hAnsi="Symbol" w:hint="default"/>
      </w:rPr>
    </w:lvl>
    <w:lvl w:ilvl="7" w:tplc="4154BDAC" w:tentative="1">
      <w:start w:val="1"/>
      <w:numFmt w:val="bullet"/>
      <w:lvlText w:val="o"/>
      <w:lvlJc w:val="left"/>
      <w:pPr>
        <w:ind w:left="5760" w:hanging="360"/>
      </w:pPr>
      <w:rPr>
        <w:rFonts w:ascii="Courier New" w:hAnsi="Courier New" w:cs="Courier New" w:hint="default"/>
      </w:rPr>
    </w:lvl>
    <w:lvl w:ilvl="8" w:tplc="F43C2376" w:tentative="1">
      <w:start w:val="1"/>
      <w:numFmt w:val="bullet"/>
      <w:lvlText w:val=""/>
      <w:lvlJc w:val="left"/>
      <w:pPr>
        <w:ind w:left="6480" w:hanging="360"/>
      </w:pPr>
      <w:rPr>
        <w:rFonts w:ascii="Wingdings" w:hAnsi="Wingdings" w:hint="default"/>
      </w:rPr>
    </w:lvl>
  </w:abstractNum>
  <w:abstractNum w:abstractNumId="47" w15:restartNumberingAfterBreak="0">
    <w:nsid w:val="7F941C2F"/>
    <w:multiLevelType w:val="hybridMultilevel"/>
    <w:tmpl w:val="200A71BA"/>
    <w:lvl w:ilvl="0" w:tplc="8ED65086">
      <w:start w:val="1"/>
      <w:numFmt w:val="decimal"/>
      <w:lvlText w:val="%1)"/>
      <w:lvlJc w:val="left"/>
      <w:pPr>
        <w:ind w:left="1287" w:hanging="360"/>
      </w:pPr>
      <w:rPr>
        <w:rFonts w:hint="default"/>
      </w:rPr>
    </w:lvl>
    <w:lvl w:ilvl="1" w:tplc="BB2AAE72" w:tentative="1">
      <w:start w:val="1"/>
      <w:numFmt w:val="bullet"/>
      <w:lvlText w:val="o"/>
      <w:lvlJc w:val="left"/>
      <w:pPr>
        <w:ind w:left="2007" w:hanging="360"/>
      </w:pPr>
      <w:rPr>
        <w:rFonts w:ascii="Courier New" w:hAnsi="Courier New" w:cs="Courier New" w:hint="default"/>
      </w:rPr>
    </w:lvl>
    <w:lvl w:ilvl="2" w:tplc="F39422B4" w:tentative="1">
      <w:start w:val="1"/>
      <w:numFmt w:val="bullet"/>
      <w:lvlText w:val=""/>
      <w:lvlJc w:val="left"/>
      <w:pPr>
        <w:ind w:left="2727" w:hanging="360"/>
      </w:pPr>
      <w:rPr>
        <w:rFonts w:ascii="Wingdings" w:hAnsi="Wingdings" w:hint="default"/>
      </w:rPr>
    </w:lvl>
    <w:lvl w:ilvl="3" w:tplc="D700CA1A" w:tentative="1">
      <w:start w:val="1"/>
      <w:numFmt w:val="bullet"/>
      <w:lvlText w:val=""/>
      <w:lvlJc w:val="left"/>
      <w:pPr>
        <w:ind w:left="3447" w:hanging="360"/>
      </w:pPr>
      <w:rPr>
        <w:rFonts w:ascii="Symbol" w:hAnsi="Symbol" w:hint="default"/>
      </w:rPr>
    </w:lvl>
    <w:lvl w:ilvl="4" w:tplc="F3C8F176" w:tentative="1">
      <w:start w:val="1"/>
      <w:numFmt w:val="bullet"/>
      <w:lvlText w:val="o"/>
      <w:lvlJc w:val="left"/>
      <w:pPr>
        <w:ind w:left="4167" w:hanging="360"/>
      </w:pPr>
      <w:rPr>
        <w:rFonts w:ascii="Courier New" w:hAnsi="Courier New" w:cs="Courier New" w:hint="default"/>
      </w:rPr>
    </w:lvl>
    <w:lvl w:ilvl="5" w:tplc="EE02487A" w:tentative="1">
      <w:start w:val="1"/>
      <w:numFmt w:val="bullet"/>
      <w:lvlText w:val=""/>
      <w:lvlJc w:val="left"/>
      <w:pPr>
        <w:ind w:left="4887" w:hanging="360"/>
      </w:pPr>
      <w:rPr>
        <w:rFonts w:ascii="Wingdings" w:hAnsi="Wingdings" w:hint="default"/>
      </w:rPr>
    </w:lvl>
    <w:lvl w:ilvl="6" w:tplc="DBA49D3C" w:tentative="1">
      <w:start w:val="1"/>
      <w:numFmt w:val="bullet"/>
      <w:lvlText w:val=""/>
      <w:lvlJc w:val="left"/>
      <w:pPr>
        <w:ind w:left="5607" w:hanging="360"/>
      </w:pPr>
      <w:rPr>
        <w:rFonts w:ascii="Symbol" w:hAnsi="Symbol" w:hint="default"/>
      </w:rPr>
    </w:lvl>
    <w:lvl w:ilvl="7" w:tplc="908E2D66" w:tentative="1">
      <w:start w:val="1"/>
      <w:numFmt w:val="bullet"/>
      <w:lvlText w:val="o"/>
      <w:lvlJc w:val="left"/>
      <w:pPr>
        <w:ind w:left="6327" w:hanging="360"/>
      </w:pPr>
      <w:rPr>
        <w:rFonts w:ascii="Courier New" w:hAnsi="Courier New" w:cs="Courier New" w:hint="default"/>
      </w:rPr>
    </w:lvl>
    <w:lvl w:ilvl="8" w:tplc="FEA8056E" w:tentative="1">
      <w:start w:val="1"/>
      <w:numFmt w:val="bullet"/>
      <w:lvlText w:val=""/>
      <w:lvlJc w:val="left"/>
      <w:pPr>
        <w:ind w:left="7047" w:hanging="360"/>
      </w:pPr>
      <w:rPr>
        <w:rFonts w:ascii="Wingdings" w:hAnsi="Wingdings" w:hint="default"/>
      </w:rPr>
    </w:lvl>
  </w:abstractNum>
  <w:num w:numId="1" w16cid:durableId="653217606">
    <w:abstractNumId w:val="36"/>
  </w:num>
  <w:num w:numId="2" w16cid:durableId="162167279">
    <w:abstractNumId w:val="13"/>
  </w:num>
  <w:num w:numId="3" w16cid:durableId="698820217">
    <w:abstractNumId w:val="25"/>
  </w:num>
  <w:num w:numId="4" w16cid:durableId="380445118">
    <w:abstractNumId w:val="39"/>
  </w:num>
  <w:num w:numId="5" w16cid:durableId="1982802749">
    <w:abstractNumId w:val="28"/>
  </w:num>
  <w:num w:numId="6" w16cid:durableId="554582878">
    <w:abstractNumId w:val="46"/>
  </w:num>
  <w:num w:numId="7" w16cid:durableId="175854687">
    <w:abstractNumId w:val="16"/>
  </w:num>
  <w:num w:numId="8" w16cid:durableId="686293466">
    <w:abstractNumId w:val="43"/>
  </w:num>
  <w:num w:numId="9" w16cid:durableId="1026559305">
    <w:abstractNumId w:val="26"/>
  </w:num>
  <w:num w:numId="10" w16cid:durableId="815561736">
    <w:abstractNumId w:val="19"/>
  </w:num>
  <w:num w:numId="11" w16cid:durableId="319231751">
    <w:abstractNumId w:val="23"/>
  </w:num>
  <w:num w:numId="12" w16cid:durableId="1974670104">
    <w:abstractNumId w:val="5"/>
  </w:num>
  <w:num w:numId="13" w16cid:durableId="212468818">
    <w:abstractNumId w:val="41"/>
  </w:num>
  <w:num w:numId="14" w16cid:durableId="715392556">
    <w:abstractNumId w:val="24"/>
  </w:num>
  <w:num w:numId="15" w16cid:durableId="1155531810">
    <w:abstractNumId w:val="11"/>
  </w:num>
  <w:num w:numId="16" w16cid:durableId="1046023742">
    <w:abstractNumId w:val="38"/>
  </w:num>
  <w:num w:numId="17" w16cid:durableId="1291398611">
    <w:abstractNumId w:val="0"/>
  </w:num>
  <w:num w:numId="18" w16cid:durableId="1574895950">
    <w:abstractNumId w:val="42"/>
  </w:num>
  <w:num w:numId="19" w16cid:durableId="1781681828">
    <w:abstractNumId w:val="17"/>
  </w:num>
  <w:num w:numId="20" w16cid:durableId="2049865835">
    <w:abstractNumId w:val="31"/>
  </w:num>
  <w:num w:numId="21" w16cid:durableId="6234648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9994526">
    <w:abstractNumId w:val="40"/>
  </w:num>
  <w:num w:numId="23" w16cid:durableId="1892811498">
    <w:abstractNumId w:val="21"/>
  </w:num>
  <w:num w:numId="24" w16cid:durableId="2082752785">
    <w:abstractNumId w:val="9"/>
  </w:num>
  <w:num w:numId="25" w16cid:durableId="1776053169">
    <w:abstractNumId w:val="1"/>
  </w:num>
  <w:num w:numId="26" w16cid:durableId="496579677">
    <w:abstractNumId w:val="27"/>
  </w:num>
  <w:num w:numId="27" w16cid:durableId="999191900">
    <w:abstractNumId w:val="32"/>
  </w:num>
  <w:num w:numId="28" w16cid:durableId="192621934">
    <w:abstractNumId w:val="3"/>
  </w:num>
  <w:num w:numId="29" w16cid:durableId="1718964533">
    <w:abstractNumId w:val="29"/>
  </w:num>
  <w:num w:numId="30" w16cid:durableId="447314683">
    <w:abstractNumId w:val="7"/>
  </w:num>
  <w:num w:numId="31" w16cid:durableId="455493060">
    <w:abstractNumId w:val="6"/>
  </w:num>
  <w:num w:numId="32" w16cid:durableId="2866658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1363182">
    <w:abstractNumId w:val="15"/>
  </w:num>
  <w:num w:numId="34" w16cid:durableId="38363374">
    <w:abstractNumId w:val="20"/>
  </w:num>
  <w:num w:numId="35" w16cid:durableId="875698616">
    <w:abstractNumId w:val="4"/>
  </w:num>
  <w:num w:numId="36" w16cid:durableId="59451687">
    <w:abstractNumId w:val="10"/>
  </w:num>
  <w:num w:numId="37" w16cid:durableId="418020064">
    <w:abstractNumId w:val="12"/>
  </w:num>
  <w:num w:numId="38" w16cid:durableId="1619990395">
    <w:abstractNumId w:val="18"/>
  </w:num>
  <w:num w:numId="39" w16cid:durableId="1987469326">
    <w:abstractNumId w:val="47"/>
  </w:num>
  <w:num w:numId="40" w16cid:durableId="325211531">
    <w:abstractNumId w:val="37"/>
  </w:num>
  <w:num w:numId="41" w16cid:durableId="269514979">
    <w:abstractNumId w:val="34"/>
  </w:num>
  <w:num w:numId="42" w16cid:durableId="2118910160">
    <w:abstractNumId w:val="22"/>
  </w:num>
  <w:num w:numId="43" w16cid:durableId="2077311863">
    <w:abstractNumId w:val="44"/>
  </w:num>
  <w:num w:numId="44" w16cid:durableId="965163113">
    <w:abstractNumId w:val="8"/>
  </w:num>
  <w:num w:numId="45" w16cid:durableId="1242636189">
    <w:abstractNumId w:val="30"/>
  </w:num>
  <w:num w:numId="46" w16cid:durableId="361126394">
    <w:abstractNumId w:val="2"/>
  </w:num>
  <w:num w:numId="47" w16cid:durableId="1997804312">
    <w:abstractNumId w:val="33"/>
  </w:num>
  <w:num w:numId="48" w16cid:durableId="480318590">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D4E"/>
    <w:rsid w:val="0000058B"/>
    <w:rsid w:val="00000A07"/>
    <w:rsid w:val="00000ACA"/>
    <w:rsid w:val="00000C91"/>
    <w:rsid w:val="00001721"/>
    <w:rsid w:val="0000196D"/>
    <w:rsid w:val="00001A13"/>
    <w:rsid w:val="00002174"/>
    <w:rsid w:val="00002301"/>
    <w:rsid w:val="00002307"/>
    <w:rsid w:val="00002429"/>
    <w:rsid w:val="00002A4E"/>
    <w:rsid w:val="00002B53"/>
    <w:rsid w:val="00003D44"/>
    <w:rsid w:val="00004F35"/>
    <w:rsid w:val="00004FC7"/>
    <w:rsid w:val="00005122"/>
    <w:rsid w:val="000054BC"/>
    <w:rsid w:val="00006177"/>
    <w:rsid w:val="000062F8"/>
    <w:rsid w:val="0000631F"/>
    <w:rsid w:val="00006B3B"/>
    <w:rsid w:val="00006B7D"/>
    <w:rsid w:val="00006FC4"/>
    <w:rsid w:val="000076C8"/>
    <w:rsid w:val="00007758"/>
    <w:rsid w:val="00007FAA"/>
    <w:rsid w:val="000101AD"/>
    <w:rsid w:val="000101B2"/>
    <w:rsid w:val="000105E1"/>
    <w:rsid w:val="00010DC1"/>
    <w:rsid w:val="000115A9"/>
    <w:rsid w:val="00011CAE"/>
    <w:rsid w:val="000121BE"/>
    <w:rsid w:val="00012634"/>
    <w:rsid w:val="00012F32"/>
    <w:rsid w:val="0001332C"/>
    <w:rsid w:val="0001397F"/>
    <w:rsid w:val="000139F8"/>
    <w:rsid w:val="00013FA6"/>
    <w:rsid w:val="0001481F"/>
    <w:rsid w:val="000162BA"/>
    <w:rsid w:val="00016785"/>
    <w:rsid w:val="000169C3"/>
    <w:rsid w:val="0001735D"/>
    <w:rsid w:val="00017509"/>
    <w:rsid w:val="00017553"/>
    <w:rsid w:val="00017A84"/>
    <w:rsid w:val="00020BAD"/>
    <w:rsid w:val="00020C52"/>
    <w:rsid w:val="00020DE8"/>
    <w:rsid w:val="00020F88"/>
    <w:rsid w:val="000210E8"/>
    <w:rsid w:val="00021219"/>
    <w:rsid w:val="000214A9"/>
    <w:rsid w:val="00021796"/>
    <w:rsid w:val="000217B6"/>
    <w:rsid w:val="000217FE"/>
    <w:rsid w:val="00021910"/>
    <w:rsid w:val="0002198A"/>
    <w:rsid w:val="00021BB4"/>
    <w:rsid w:val="00021DDC"/>
    <w:rsid w:val="000224D6"/>
    <w:rsid w:val="000227B8"/>
    <w:rsid w:val="000229F6"/>
    <w:rsid w:val="00023E64"/>
    <w:rsid w:val="000243A1"/>
    <w:rsid w:val="0002494D"/>
    <w:rsid w:val="00025265"/>
    <w:rsid w:val="0002550D"/>
    <w:rsid w:val="00025866"/>
    <w:rsid w:val="00025B6E"/>
    <w:rsid w:val="000267E0"/>
    <w:rsid w:val="00026F99"/>
    <w:rsid w:val="000276AA"/>
    <w:rsid w:val="00030C84"/>
    <w:rsid w:val="00030F0A"/>
    <w:rsid w:val="00031297"/>
    <w:rsid w:val="00031669"/>
    <w:rsid w:val="0003199C"/>
    <w:rsid w:val="00031A65"/>
    <w:rsid w:val="00031D97"/>
    <w:rsid w:val="00032013"/>
    <w:rsid w:val="000321E2"/>
    <w:rsid w:val="00033A01"/>
    <w:rsid w:val="00034252"/>
    <w:rsid w:val="00034B7C"/>
    <w:rsid w:val="00035092"/>
    <w:rsid w:val="000351EB"/>
    <w:rsid w:val="000352B0"/>
    <w:rsid w:val="000358AB"/>
    <w:rsid w:val="00035A8C"/>
    <w:rsid w:val="00035B6A"/>
    <w:rsid w:val="000360FB"/>
    <w:rsid w:val="00036428"/>
    <w:rsid w:val="00036475"/>
    <w:rsid w:val="0003675B"/>
    <w:rsid w:val="0003680E"/>
    <w:rsid w:val="00036A52"/>
    <w:rsid w:val="00036B15"/>
    <w:rsid w:val="00036B4B"/>
    <w:rsid w:val="00036B66"/>
    <w:rsid w:val="00037B31"/>
    <w:rsid w:val="00037FD5"/>
    <w:rsid w:val="00040002"/>
    <w:rsid w:val="00040094"/>
    <w:rsid w:val="0004016C"/>
    <w:rsid w:val="0004054B"/>
    <w:rsid w:val="00040C01"/>
    <w:rsid w:val="00040CBB"/>
    <w:rsid w:val="00041812"/>
    <w:rsid w:val="00041B58"/>
    <w:rsid w:val="00041FCF"/>
    <w:rsid w:val="0004238F"/>
    <w:rsid w:val="000425C8"/>
    <w:rsid w:val="000428C7"/>
    <w:rsid w:val="00043083"/>
    <w:rsid w:val="00043291"/>
    <w:rsid w:val="00043783"/>
    <w:rsid w:val="00043FE3"/>
    <w:rsid w:val="0004419D"/>
    <w:rsid w:val="0004449E"/>
    <w:rsid w:val="00045B3C"/>
    <w:rsid w:val="00045C92"/>
    <w:rsid w:val="000465CC"/>
    <w:rsid w:val="0004695F"/>
    <w:rsid w:val="000469C5"/>
    <w:rsid w:val="000477E8"/>
    <w:rsid w:val="00047919"/>
    <w:rsid w:val="00047BBB"/>
    <w:rsid w:val="00047EBC"/>
    <w:rsid w:val="0005052D"/>
    <w:rsid w:val="00050556"/>
    <w:rsid w:val="0005077C"/>
    <w:rsid w:val="000510CA"/>
    <w:rsid w:val="0005110A"/>
    <w:rsid w:val="0005174E"/>
    <w:rsid w:val="00052033"/>
    <w:rsid w:val="000527C0"/>
    <w:rsid w:val="00052896"/>
    <w:rsid w:val="000528F8"/>
    <w:rsid w:val="0005292A"/>
    <w:rsid w:val="00052CD7"/>
    <w:rsid w:val="000530B4"/>
    <w:rsid w:val="00053205"/>
    <w:rsid w:val="00053351"/>
    <w:rsid w:val="00053BD1"/>
    <w:rsid w:val="0005400A"/>
    <w:rsid w:val="000540B0"/>
    <w:rsid w:val="000549C6"/>
    <w:rsid w:val="00054DC5"/>
    <w:rsid w:val="00055134"/>
    <w:rsid w:val="00055207"/>
    <w:rsid w:val="000552C2"/>
    <w:rsid w:val="00055532"/>
    <w:rsid w:val="000558DD"/>
    <w:rsid w:val="00055E80"/>
    <w:rsid w:val="00055F4A"/>
    <w:rsid w:val="000561A7"/>
    <w:rsid w:val="0005694E"/>
    <w:rsid w:val="0005699D"/>
    <w:rsid w:val="000573FD"/>
    <w:rsid w:val="00060A43"/>
    <w:rsid w:val="0006156D"/>
    <w:rsid w:val="00061609"/>
    <w:rsid w:val="00061644"/>
    <w:rsid w:val="000616EE"/>
    <w:rsid w:val="00061A91"/>
    <w:rsid w:val="00061C2B"/>
    <w:rsid w:val="000622D4"/>
    <w:rsid w:val="000625AD"/>
    <w:rsid w:val="00063A2B"/>
    <w:rsid w:val="00063D42"/>
    <w:rsid w:val="00064054"/>
    <w:rsid w:val="00064103"/>
    <w:rsid w:val="000642BE"/>
    <w:rsid w:val="00065784"/>
    <w:rsid w:val="000658DF"/>
    <w:rsid w:val="00065B9E"/>
    <w:rsid w:val="0006645C"/>
    <w:rsid w:val="0006693B"/>
    <w:rsid w:val="00067829"/>
    <w:rsid w:val="0006794A"/>
    <w:rsid w:val="000700A8"/>
    <w:rsid w:val="00070CF7"/>
    <w:rsid w:val="00070E78"/>
    <w:rsid w:val="00071251"/>
    <w:rsid w:val="00071EED"/>
    <w:rsid w:val="00071F88"/>
    <w:rsid w:val="000723D1"/>
    <w:rsid w:val="0007290F"/>
    <w:rsid w:val="00072FCF"/>
    <w:rsid w:val="0007311F"/>
    <w:rsid w:val="00074001"/>
    <w:rsid w:val="0007434D"/>
    <w:rsid w:val="00074610"/>
    <w:rsid w:val="000746C9"/>
    <w:rsid w:val="00074A4A"/>
    <w:rsid w:val="00075364"/>
    <w:rsid w:val="00075452"/>
    <w:rsid w:val="00075494"/>
    <w:rsid w:val="00075CEA"/>
    <w:rsid w:val="00076302"/>
    <w:rsid w:val="000769CA"/>
    <w:rsid w:val="000769D2"/>
    <w:rsid w:val="0007705B"/>
    <w:rsid w:val="0007715E"/>
    <w:rsid w:val="00077479"/>
    <w:rsid w:val="0007781E"/>
    <w:rsid w:val="00077B40"/>
    <w:rsid w:val="00077B85"/>
    <w:rsid w:val="00077EC8"/>
    <w:rsid w:val="00080199"/>
    <w:rsid w:val="000803BE"/>
    <w:rsid w:val="0008058F"/>
    <w:rsid w:val="00081510"/>
    <w:rsid w:val="00081E5D"/>
    <w:rsid w:val="000820BB"/>
    <w:rsid w:val="000820C2"/>
    <w:rsid w:val="00082178"/>
    <w:rsid w:val="00082A31"/>
    <w:rsid w:val="000833A7"/>
    <w:rsid w:val="00083431"/>
    <w:rsid w:val="000835AD"/>
    <w:rsid w:val="00083C4F"/>
    <w:rsid w:val="0008401C"/>
    <w:rsid w:val="00084194"/>
    <w:rsid w:val="000841AE"/>
    <w:rsid w:val="00084667"/>
    <w:rsid w:val="00084758"/>
    <w:rsid w:val="00085916"/>
    <w:rsid w:val="00085918"/>
    <w:rsid w:val="00085A74"/>
    <w:rsid w:val="00086559"/>
    <w:rsid w:val="00086B2A"/>
    <w:rsid w:val="00086FED"/>
    <w:rsid w:val="000870DA"/>
    <w:rsid w:val="000873C2"/>
    <w:rsid w:val="0009099D"/>
    <w:rsid w:val="00090D17"/>
    <w:rsid w:val="0009112F"/>
    <w:rsid w:val="000912E8"/>
    <w:rsid w:val="0009181A"/>
    <w:rsid w:val="00093C2B"/>
    <w:rsid w:val="000948C5"/>
    <w:rsid w:val="00095407"/>
    <w:rsid w:val="00095754"/>
    <w:rsid w:val="000957DE"/>
    <w:rsid w:val="00095FF6"/>
    <w:rsid w:val="0009602C"/>
    <w:rsid w:val="00096356"/>
    <w:rsid w:val="00097090"/>
    <w:rsid w:val="000976B8"/>
    <w:rsid w:val="00097D93"/>
    <w:rsid w:val="000A0E00"/>
    <w:rsid w:val="000A0ED1"/>
    <w:rsid w:val="000A11BA"/>
    <w:rsid w:val="000A1472"/>
    <w:rsid w:val="000A185A"/>
    <w:rsid w:val="000A1B46"/>
    <w:rsid w:val="000A229C"/>
    <w:rsid w:val="000A2540"/>
    <w:rsid w:val="000A2C87"/>
    <w:rsid w:val="000A3195"/>
    <w:rsid w:val="000A33C0"/>
    <w:rsid w:val="000A371C"/>
    <w:rsid w:val="000A37D2"/>
    <w:rsid w:val="000A3858"/>
    <w:rsid w:val="000A3B71"/>
    <w:rsid w:val="000A3C89"/>
    <w:rsid w:val="000A4703"/>
    <w:rsid w:val="000A4766"/>
    <w:rsid w:val="000A4A1A"/>
    <w:rsid w:val="000A5452"/>
    <w:rsid w:val="000A54FC"/>
    <w:rsid w:val="000A577C"/>
    <w:rsid w:val="000A58DC"/>
    <w:rsid w:val="000A5ED3"/>
    <w:rsid w:val="000A6821"/>
    <w:rsid w:val="000A68DB"/>
    <w:rsid w:val="000A6DF6"/>
    <w:rsid w:val="000A76FE"/>
    <w:rsid w:val="000A7791"/>
    <w:rsid w:val="000A7A6F"/>
    <w:rsid w:val="000B0086"/>
    <w:rsid w:val="000B0479"/>
    <w:rsid w:val="000B082E"/>
    <w:rsid w:val="000B083C"/>
    <w:rsid w:val="000B18BC"/>
    <w:rsid w:val="000B1975"/>
    <w:rsid w:val="000B1B33"/>
    <w:rsid w:val="000B2721"/>
    <w:rsid w:val="000B309A"/>
    <w:rsid w:val="000B38AA"/>
    <w:rsid w:val="000B44AF"/>
    <w:rsid w:val="000B4EA0"/>
    <w:rsid w:val="000B586A"/>
    <w:rsid w:val="000B5AB6"/>
    <w:rsid w:val="000B5F9B"/>
    <w:rsid w:val="000B692F"/>
    <w:rsid w:val="000B6AE1"/>
    <w:rsid w:val="000B7FC9"/>
    <w:rsid w:val="000C00E2"/>
    <w:rsid w:val="000C10DC"/>
    <w:rsid w:val="000C1432"/>
    <w:rsid w:val="000C1464"/>
    <w:rsid w:val="000C1651"/>
    <w:rsid w:val="000C1B7D"/>
    <w:rsid w:val="000C276A"/>
    <w:rsid w:val="000C2B1F"/>
    <w:rsid w:val="000C3011"/>
    <w:rsid w:val="000C43D1"/>
    <w:rsid w:val="000C4BB7"/>
    <w:rsid w:val="000C4EB1"/>
    <w:rsid w:val="000C5132"/>
    <w:rsid w:val="000C593C"/>
    <w:rsid w:val="000C59FF"/>
    <w:rsid w:val="000C5B83"/>
    <w:rsid w:val="000C5C5F"/>
    <w:rsid w:val="000C5EDD"/>
    <w:rsid w:val="000C6077"/>
    <w:rsid w:val="000C614B"/>
    <w:rsid w:val="000C65D7"/>
    <w:rsid w:val="000C6CA3"/>
    <w:rsid w:val="000C7528"/>
    <w:rsid w:val="000C7B6B"/>
    <w:rsid w:val="000C7C87"/>
    <w:rsid w:val="000C7F96"/>
    <w:rsid w:val="000D042D"/>
    <w:rsid w:val="000D048E"/>
    <w:rsid w:val="000D0E79"/>
    <w:rsid w:val="000D1658"/>
    <w:rsid w:val="000D1D5B"/>
    <w:rsid w:val="000D1F14"/>
    <w:rsid w:val="000D1F4E"/>
    <w:rsid w:val="000D2B92"/>
    <w:rsid w:val="000D301C"/>
    <w:rsid w:val="000D314C"/>
    <w:rsid w:val="000D35AE"/>
    <w:rsid w:val="000D3703"/>
    <w:rsid w:val="000D387D"/>
    <w:rsid w:val="000D3B0C"/>
    <w:rsid w:val="000D3C35"/>
    <w:rsid w:val="000D4CB0"/>
    <w:rsid w:val="000D5792"/>
    <w:rsid w:val="000D5896"/>
    <w:rsid w:val="000D5F04"/>
    <w:rsid w:val="000D607A"/>
    <w:rsid w:val="000D6866"/>
    <w:rsid w:val="000D689A"/>
    <w:rsid w:val="000D694F"/>
    <w:rsid w:val="000D6B10"/>
    <w:rsid w:val="000D6D53"/>
    <w:rsid w:val="000D6DF9"/>
    <w:rsid w:val="000D6E99"/>
    <w:rsid w:val="000D702F"/>
    <w:rsid w:val="000D7416"/>
    <w:rsid w:val="000D748F"/>
    <w:rsid w:val="000D7778"/>
    <w:rsid w:val="000D77B4"/>
    <w:rsid w:val="000D7925"/>
    <w:rsid w:val="000D7951"/>
    <w:rsid w:val="000D79B3"/>
    <w:rsid w:val="000D7A8B"/>
    <w:rsid w:val="000D7E19"/>
    <w:rsid w:val="000E023C"/>
    <w:rsid w:val="000E03CA"/>
    <w:rsid w:val="000E0658"/>
    <w:rsid w:val="000E0930"/>
    <w:rsid w:val="000E09AA"/>
    <w:rsid w:val="000E0A2F"/>
    <w:rsid w:val="000E0A7F"/>
    <w:rsid w:val="000E0DF0"/>
    <w:rsid w:val="000E0E5F"/>
    <w:rsid w:val="000E11B6"/>
    <w:rsid w:val="000E1CBA"/>
    <w:rsid w:val="000E1F5B"/>
    <w:rsid w:val="000E22C9"/>
    <w:rsid w:val="000E2F48"/>
    <w:rsid w:val="000E3412"/>
    <w:rsid w:val="000E37D6"/>
    <w:rsid w:val="000E3D38"/>
    <w:rsid w:val="000E40AE"/>
    <w:rsid w:val="000E423E"/>
    <w:rsid w:val="000E434B"/>
    <w:rsid w:val="000E4864"/>
    <w:rsid w:val="000E4A5C"/>
    <w:rsid w:val="000E4C98"/>
    <w:rsid w:val="000E4EFE"/>
    <w:rsid w:val="000E525F"/>
    <w:rsid w:val="000E5C39"/>
    <w:rsid w:val="000E5D06"/>
    <w:rsid w:val="000E5F3A"/>
    <w:rsid w:val="000E6AB4"/>
    <w:rsid w:val="000E6D61"/>
    <w:rsid w:val="000E6EC1"/>
    <w:rsid w:val="000E6FF2"/>
    <w:rsid w:val="000E6FFB"/>
    <w:rsid w:val="000E7200"/>
    <w:rsid w:val="000E7521"/>
    <w:rsid w:val="000E760A"/>
    <w:rsid w:val="000E7B32"/>
    <w:rsid w:val="000F03F1"/>
    <w:rsid w:val="000F0ACE"/>
    <w:rsid w:val="000F12DD"/>
    <w:rsid w:val="000F1802"/>
    <w:rsid w:val="000F1861"/>
    <w:rsid w:val="000F1967"/>
    <w:rsid w:val="000F1AEC"/>
    <w:rsid w:val="000F1CBD"/>
    <w:rsid w:val="000F1D17"/>
    <w:rsid w:val="000F2617"/>
    <w:rsid w:val="000F329F"/>
    <w:rsid w:val="000F33D5"/>
    <w:rsid w:val="000F391A"/>
    <w:rsid w:val="000F39F4"/>
    <w:rsid w:val="000F4184"/>
    <w:rsid w:val="000F44FD"/>
    <w:rsid w:val="000F456E"/>
    <w:rsid w:val="000F4929"/>
    <w:rsid w:val="000F52FE"/>
    <w:rsid w:val="000F60F6"/>
    <w:rsid w:val="000F6669"/>
    <w:rsid w:val="000F669F"/>
    <w:rsid w:val="000F699F"/>
    <w:rsid w:val="000F718F"/>
    <w:rsid w:val="000F7235"/>
    <w:rsid w:val="000F7DD2"/>
    <w:rsid w:val="0010008B"/>
    <w:rsid w:val="0010017E"/>
    <w:rsid w:val="0010137A"/>
    <w:rsid w:val="0010214E"/>
    <w:rsid w:val="001024DF"/>
    <w:rsid w:val="001024FD"/>
    <w:rsid w:val="00102F1F"/>
    <w:rsid w:val="00103185"/>
    <w:rsid w:val="00103F4A"/>
    <w:rsid w:val="001043FF"/>
    <w:rsid w:val="0010493E"/>
    <w:rsid w:val="00104994"/>
    <w:rsid w:val="00104A67"/>
    <w:rsid w:val="00104B38"/>
    <w:rsid w:val="00104B6C"/>
    <w:rsid w:val="00104E93"/>
    <w:rsid w:val="0010511D"/>
    <w:rsid w:val="0010541F"/>
    <w:rsid w:val="00105A08"/>
    <w:rsid w:val="00105B3E"/>
    <w:rsid w:val="00105B78"/>
    <w:rsid w:val="00105F8E"/>
    <w:rsid w:val="001060A2"/>
    <w:rsid w:val="001063E4"/>
    <w:rsid w:val="001065C3"/>
    <w:rsid w:val="00106803"/>
    <w:rsid w:val="00106F6F"/>
    <w:rsid w:val="00107242"/>
    <w:rsid w:val="0010765B"/>
    <w:rsid w:val="00107815"/>
    <w:rsid w:val="00107989"/>
    <w:rsid w:val="001104B1"/>
    <w:rsid w:val="001104BC"/>
    <w:rsid w:val="00110A6F"/>
    <w:rsid w:val="00110AAA"/>
    <w:rsid w:val="00110FD8"/>
    <w:rsid w:val="0011181A"/>
    <w:rsid w:val="00111BFC"/>
    <w:rsid w:val="00111D5C"/>
    <w:rsid w:val="00112311"/>
    <w:rsid w:val="001125A5"/>
    <w:rsid w:val="00112742"/>
    <w:rsid w:val="00112744"/>
    <w:rsid w:val="001129CE"/>
    <w:rsid w:val="00112AE4"/>
    <w:rsid w:val="00112FC1"/>
    <w:rsid w:val="001135D6"/>
    <w:rsid w:val="00113747"/>
    <w:rsid w:val="00113C65"/>
    <w:rsid w:val="00114058"/>
    <w:rsid w:val="00114B72"/>
    <w:rsid w:val="001157B2"/>
    <w:rsid w:val="00115D96"/>
    <w:rsid w:val="00115EAB"/>
    <w:rsid w:val="00116430"/>
    <w:rsid w:val="0011646C"/>
    <w:rsid w:val="00116E40"/>
    <w:rsid w:val="001178A9"/>
    <w:rsid w:val="001179BB"/>
    <w:rsid w:val="001179C7"/>
    <w:rsid w:val="00117F79"/>
    <w:rsid w:val="00120721"/>
    <w:rsid w:val="001215C7"/>
    <w:rsid w:val="001217A7"/>
    <w:rsid w:val="00121888"/>
    <w:rsid w:val="00121CAD"/>
    <w:rsid w:val="00121F3A"/>
    <w:rsid w:val="00121FAB"/>
    <w:rsid w:val="0012203A"/>
    <w:rsid w:val="00122580"/>
    <w:rsid w:val="0012268D"/>
    <w:rsid w:val="00122B09"/>
    <w:rsid w:val="00122B7F"/>
    <w:rsid w:val="00122C04"/>
    <w:rsid w:val="00122D4E"/>
    <w:rsid w:val="00122DE3"/>
    <w:rsid w:val="00122F8B"/>
    <w:rsid w:val="001231D9"/>
    <w:rsid w:val="0012338D"/>
    <w:rsid w:val="00123752"/>
    <w:rsid w:val="00123832"/>
    <w:rsid w:val="001241D0"/>
    <w:rsid w:val="0012481D"/>
    <w:rsid w:val="00124C9B"/>
    <w:rsid w:val="0012507D"/>
    <w:rsid w:val="00125457"/>
    <w:rsid w:val="00125596"/>
    <w:rsid w:val="001255A1"/>
    <w:rsid w:val="00125671"/>
    <w:rsid w:val="00125820"/>
    <w:rsid w:val="00125F87"/>
    <w:rsid w:val="00125FAF"/>
    <w:rsid w:val="00125FFE"/>
    <w:rsid w:val="00126CCC"/>
    <w:rsid w:val="001273CD"/>
    <w:rsid w:val="001274AA"/>
    <w:rsid w:val="001279C9"/>
    <w:rsid w:val="00127DA1"/>
    <w:rsid w:val="00127F93"/>
    <w:rsid w:val="00130075"/>
    <w:rsid w:val="001302FD"/>
    <w:rsid w:val="0013059A"/>
    <w:rsid w:val="001305AF"/>
    <w:rsid w:val="00130BB3"/>
    <w:rsid w:val="00130DE9"/>
    <w:rsid w:val="001318A9"/>
    <w:rsid w:val="0013192A"/>
    <w:rsid w:val="00131A70"/>
    <w:rsid w:val="00131C73"/>
    <w:rsid w:val="00131D68"/>
    <w:rsid w:val="0013217C"/>
    <w:rsid w:val="0013233C"/>
    <w:rsid w:val="00133166"/>
    <w:rsid w:val="00133F73"/>
    <w:rsid w:val="00133FF8"/>
    <w:rsid w:val="00134037"/>
    <w:rsid w:val="001346C0"/>
    <w:rsid w:val="001347F1"/>
    <w:rsid w:val="00134B2E"/>
    <w:rsid w:val="00135526"/>
    <w:rsid w:val="00135A6C"/>
    <w:rsid w:val="001361C2"/>
    <w:rsid w:val="001368E6"/>
    <w:rsid w:val="001369D4"/>
    <w:rsid w:val="00136E3E"/>
    <w:rsid w:val="00137150"/>
    <w:rsid w:val="00137A62"/>
    <w:rsid w:val="00137B73"/>
    <w:rsid w:val="00140119"/>
    <w:rsid w:val="00140B04"/>
    <w:rsid w:val="00140B49"/>
    <w:rsid w:val="00140EBF"/>
    <w:rsid w:val="0014171B"/>
    <w:rsid w:val="0014181F"/>
    <w:rsid w:val="00141DCF"/>
    <w:rsid w:val="00141DDC"/>
    <w:rsid w:val="00141E8F"/>
    <w:rsid w:val="0014206E"/>
    <w:rsid w:val="00142907"/>
    <w:rsid w:val="00142F78"/>
    <w:rsid w:val="00143221"/>
    <w:rsid w:val="00143757"/>
    <w:rsid w:val="00143F57"/>
    <w:rsid w:val="00144164"/>
    <w:rsid w:val="00144395"/>
    <w:rsid w:val="00144446"/>
    <w:rsid w:val="00144798"/>
    <w:rsid w:val="00144CEB"/>
    <w:rsid w:val="001452A0"/>
    <w:rsid w:val="00145787"/>
    <w:rsid w:val="00146430"/>
    <w:rsid w:val="001465EF"/>
    <w:rsid w:val="00146BFC"/>
    <w:rsid w:val="00146D7E"/>
    <w:rsid w:val="00146FE7"/>
    <w:rsid w:val="00147573"/>
    <w:rsid w:val="00147AE5"/>
    <w:rsid w:val="00150000"/>
    <w:rsid w:val="0015031C"/>
    <w:rsid w:val="00150BFB"/>
    <w:rsid w:val="00150C8B"/>
    <w:rsid w:val="00150D93"/>
    <w:rsid w:val="00150DC5"/>
    <w:rsid w:val="001516EB"/>
    <w:rsid w:val="00151996"/>
    <w:rsid w:val="00151E3F"/>
    <w:rsid w:val="001521D0"/>
    <w:rsid w:val="001523E1"/>
    <w:rsid w:val="001529A3"/>
    <w:rsid w:val="00152A73"/>
    <w:rsid w:val="00152CC7"/>
    <w:rsid w:val="00152F56"/>
    <w:rsid w:val="00153361"/>
    <w:rsid w:val="0015385F"/>
    <w:rsid w:val="0015391D"/>
    <w:rsid w:val="00153C16"/>
    <w:rsid w:val="001545F4"/>
    <w:rsid w:val="00154741"/>
    <w:rsid w:val="00154F50"/>
    <w:rsid w:val="00155B28"/>
    <w:rsid w:val="001567CB"/>
    <w:rsid w:val="00156A95"/>
    <w:rsid w:val="001575DF"/>
    <w:rsid w:val="00157C6A"/>
    <w:rsid w:val="00157E32"/>
    <w:rsid w:val="00160821"/>
    <w:rsid w:val="001609A0"/>
    <w:rsid w:val="001615BC"/>
    <w:rsid w:val="00161D8F"/>
    <w:rsid w:val="0016268B"/>
    <w:rsid w:val="00162E4E"/>
    <w:rsid w:val="00163317"/>
    <w:rsid w:val="00163438"/>
    <w:rsid w:val="00163E45"/>
    <w:rsid w:val="00163F33"/>
    <w:rsid w:val="001640EA"/>
    <w:rsid w:val="00164281"/>
    <w:rsid w:val="001643B1"/>
    <w:rsid w:val="0016444F"/>
    <w:rsid w:val="00164DF9"/>
    <w:rsid w:val="0016512D"/>
    <w:rsid w:val="00165BBE"/>
    <w:rsid w:val="0016764A"/>
    <w:rsid w:val="00170D86"/>
    <w:rsid w:val="0017104C"/>
    <w:rsid w:val="0017144C"/>
    <w:rsid w:val="00171759"/>
    <w:rsid w:val="00171803"/>
    <w:rsid w:val="00171AB7"/>
    <w:rsid w:val="00171B20"/>
    <w:rsid w:val="00171BE9"/>
    <w:rsid w:val="00171CD1"/>
    <w:rsid w:val="001727B1"/>
    <w:rsid w:val="0017291A"/>
    <w:rsid w:val="0017298B"/>
    <w:rsid w:val="00172F48"/>
    <w:rsid w:val="001739CD"/>
    <w:rsid w:val="00173B5F"/>
    <w:rsid w:val="00174018"/>
    <w:rsid w:val="0017411F"/>
    <w:rsid w:val="001741E4"/>
    <w:rsid w:val="0017474D"/>
    <w:rsid w:val="00174B98"/>
    <w:rsid w:val="00175423"/>
    <w:rsid w:val="001757C3"/>
    <w:rsid w:val="0017599F"/>
    <w:rsid w:val="00175B17"/>
    <w:rsid w:val="00175BE3"/>
    <w:rsid w:val="00175FD4"/>
    <w:rsid w:val="00176256"/>
    <w:rsid w:val="00176617"/>
    <w:rsid w:val="001769AD"/>
    <w:rsid w:val="00177886"/>
    <w:rsid w:val="00177962"/>
    <w:rsid w:val="00177C92"/>
    <w:rsid w:val="00177D1B"/>
    <w:rsid w:val="001804DE"/>
    <w:rsid w:val="00180640"/>
    <w:rsid w:val="00180975"/>
    <w:rsid w:val="00180A79"/>
    <w:rsid w:val="00181192"/>
    <w:rsid w:val="00181584"/>
    <w:rsid w:val="001819DA"/>
    <w:rsid w:val="00181AA2"/>
    <w:rsid w:val="00181ACB"/>
    <w:rsid w:val="00181C0C"/>
    <w:rsid w:val="00181ECC"/>
    <w:rsid w:val="001827A5"/>
    <w:rsid w:val="00182B7F"/>
    <w:rsid w:val="001832F5"/>
    <w:rsid w:val="00183B15"/>
    <w:rsid w:val="00183B5A"/>
    <w:rsid w:val="00183F0A"/>
    <w:rsid w:val="00183F80"/>
    <w:rsid w:val="00184000"/>
    <w:rsid w:val="001843B6"/>
    <w:rsid w:val="00184469"/>
    <w:rsid w:val="00184764"/>
    <w:rsid w:val="001848A7"/>
    <w:rsid w:val="00184C46"/>
    <w:rsid w:val="00185047"/>
    <w:rsid w:val="00185949"/>
    <w:rsid w:val="00186045"/>
    <w:rsid w:val="00186A37"/>
    <w:rsid w:val="00186E2C"/>
    <w:rsid w:val="00186F6E"/>
    <w:rsid w:val="00186FF1"/>
    <w:rsid w:val="00187A31"/>
    <w:rsid w:val="00190359"/>
    <w:rsid w:val="001904C2"/>
    <w:rsid w:val="001907DC"/>
    <w:rsid w:val="00190837"/>
    <w:rsid w:val="00190B62"/>
    <w:rsid w:val="00191298"/>
    <w:rsid w:val="001915ED"/>
    <w:rsid w:val="00191C4E"/>
    <w:rsid w:val="00192671"/>
    <w:rsid w:val="0019303A"/>
    <w:rsid w:val="00193690"/>
    <w:rsid w:val="00193895"/>
    <w:rsid w:val="001942D1"/>
    <w:rsid w:val="001944B9"/>
    <w:rsid w:val="0019475B"/>
    <w:rsid w:val="00194E4E"/>
    <w:rsid w:val="00194E82"/>
    <w:rsid w:val="001968E3"/>
    <w:rsid w:val="00196C5A"/>
    <w:rsid w:val="00196CE1"/>
    <w:rsid w:val="00197261"/>
    <w:rsid w:val="001976D4"/>
    <w:rsid w:val="0019774E"/>
    <w:rsid w:val="0019784B"/>
    <w:rsid w:val="00197D66"/>
    <w:rsid w:val="001A073F"/>
    <w:rsid w:val="001A07B1"/>
    <w:rsid w:val="001A0802"/>
    <w:rsid w:val="001A0AA6"/>
    <w:rsid w:val="001A130F"/>
    <w:rsid w:val="001A13A9"/>
    <w:rsid w:val="001A1F39"/>
    <w:rsid w:val="001A206D"/>
    <w:rsid w:val="001A2110"/>
    <w:rsid w:val="001A211D"/>
    <w:rsid w:val="001A2463"/>
    <w:rsid w:val="001A2512"/>
    <w:rsid w:val="001A26FD"/>
    <w:rsid w:val="001A2B2F"/>
    <w:rsid w:val="001A2C31"/>
    <w:rsid w:val="001A2C69"/>
    <w:rsid w:val="001A2F9D"/>
    <w:rsid w:val="001A3235"/>
    <w:rsid w:val="001A3250"/>
    <w:rsid w:val="001A3442"/>
    <w:rsid w:val="001A3487"/>
    <w:rsid w:val="001A38AF"/>
    <w:rsid w:val="001A3A58"/>
    <w:rsid w:val="001A3DB5"/>
    <w:rsid w:val="001A3FBB"/>
    <w:rsid w:val="001A4505"/>
    <w:rsid w:val="001A4522"/>
    <w:rsid w:val="001A4C6C"/>
    <w:rsid w:val="001A4E41"/>
    <w:rsid w:val="001A62D5"/>
    <w:rsid w:val="001A72DA"/>
    <w:rsid w:val="001A7470"/>
    <w:rsid w:val="001A766C"/>
    <w:rsid w:val="001A77FE"/>
    <w:rsid w:val="001B0416"/>
    <w:rsid w:val="001B0760"/>
    <w:rsid w:val="001B0CA8"/>
    <w:rsid w:val="001B0D9B"/>
    <w:rsid w:val="001B110B"/>
    <w:rsid w:val="001B134B"/>
    <w:rsid w:val="001B1457"/>
    <w:rsid w:val="001B173D"/>
    <w:rsid w:val="001B1A02"/>
    <w:rsid w:val="001B1D4E"/>
    <w:rsid w:val="001B216A"/>
    <w:rsid w:val="001B26CB"/>
    <w:rsid w:val="001B2746"/>
    <w:rsid w:val="001B2AE1"/>
    <w:rsid w:val="001B3B56"/>
    <w:rsid w:val="001B3E3F"/>
    <w:rsid w:val="001B47E7"/>
    <w:rsid w:val="001B4AAE"/>
    <w:rsid w:val="001B4F8F"/>
    <w:rsid w:val="001B53BC"/>
    <w:rsid w:val="001B566A"/>
    <w:rsid w:val="001B58AF"/>
    <w:rsid w:val="001B5D3D"/>
    <w:rsid w:val="001B627B"/>
    <w:rsid w:val="001B68B3"/>
    <w:rsid w:val="001B6927"/>
    <w:rsid w:val="001B6CFF"/>
    <w:rsid w:val="001B6FC3"/>
    <w:rsid w:val="001B72AB"/>
    <w:rsid w:val="001B781A"/>
    <w:rsid w:val="001B7CE2"/>
    <w:rsid w:val="001B7F97"/>
    <w:rsid w:val="001C0334"/>
    <w:rsid w:val="001C06ED"/>
    <w:rsid w:val="001C0C51"/>
    <w:rsid w:val="001C0F6C"/>
    <w:rsid w:val="001C16D2"/>
    <w:rsid w:val="001C1750"/>
    <w:rsid w:val="001C1E34"/>
    <w:rsid w:val="001C1E9C"/>
    <w:rsid w:val="001C207E"/>
    <w:rsid w:val="001C225D"/>
    <w:rsid w:val="001C2437"/>
    <w:rsid w:val="001C2486"/>
    <w:rsid w:val="001C2497"/>
    <w:rsid w:val="001C25E3"/>
    <w:rsid w:val="001C27D7"/>
    <w:rsid w:val="001C2CF7"/>
    <w:rsid w:val="001C2D83"/>
    <w:rsid w:val="001C3078"/>
    <w:rsid w:val="001C35B8"/>
    <w:rsid w:val="001C3A0D"/>
    <w:rsid w:val="001C3A6D"/>
    <w:rsid w:val="001C43A6"/>
    <w:rsid w:val="001C444A"/>
    <w:rsid w:val="001C482C"/>
    <w:rsid w:val="001C4C7F"/>
    <w:rsid w:val="001C4F2F"/>
    <w:rsid w:val="001C54B3"/>
    <w:rsid w:val="001C5669"/>
    <w:rsid w:val="001C58FF"/>
    <w:rsid w:val="001C5DEA"/>
    <w:rsid w:val="001C6816"/>
    <w:rsid w:val="001C708A"/>
    <w:rsid w:val="001C7432"/>
    <w:rsid w:val="001C75B7"/>
    <w:rsid w:val="001C7C5C"/>
    <w:rsid w:val="001C7F6F"/>
    <w:rsid w:val="001D01E2"/>
    <w:rsid w:val="001D020C"/>
    <w:rsid w:val="001D0234"/>
    <w:rsid w:val="001D063B"/>
    <w:rsid w:val="001D0CAF"/>
    <w:rsid w:val="001D0F0A"/>
    <w:rsid w:val="001D1B88"/>
    <w:rsid w:val="001D1D7D"/>
    <w:rsid w:val="001D204B"/>
    <w:rsid w:val="001D2183"/>
    <w:rsid w:val="001D2682"/>
    <w:rsid w:val="001D283A"/>
    <w:rsid w:val="001D310C"/>
    <w:rsid w:val="001D31E2"/>
    <w:rsid w:val="001D35B2"/>
    <w:rsid w:val="001D3821"/>
    <w:rsid w:val="001D4436"/>
    <w:rsid w:val="001D4B4A"/>
    <w:rsid w:val="001D4CDC"/>
    <w:rsid w:val="001D5F62"/>
    <w:rsid w:val="001D63B7"/>
    <w:rsid w:val="001D6611"/>
    <w:rsid w:val="001D661C"/>
    <w:rsid w:val="001D678D"/>
    <w:rsid w:val="001D6BF0"/>
    <w:rsid w:val="001D6EFD"/>
    <w:rsid w:val="001D70CD"/>
    <w:rsid w:val="001D7230"/>
    <w:rsid w:val="001D7583"/>
    <w:rsid w:val="001D76AF"/>
    <w:rsid w:val="001E0256"/>
    <w:rsid w:val="001E0AC8"/>
    <w:rsid w:val="001E0E62"/>
    <w:rsid w:val="001E0FE4"/>
    <w:rsid w:val="001E1C14"/>
    <w:rsid w:val="001E20A8"/>
    <w:rsid w:val="001E20AA"/>
    <w:rsid w:val="001E21CB"/>
    <w:rsid w:val="001E2AD3"/>
    <w:rsid w:val="001E2CD2"/>
    <w:rsid w:val="001E2EDC"/>
    <w:rsid w:val="001E308D"/>
    <w:rsid w:val="001E37CE"/>
    <w:rsid w:val="001E3AF4"/>
    <w:rsid w:val="001E3C3C"/>
    <w:rsid w:val="001E416B"/>
    <w:rsid w:val="001E4A9E"/>
    <w:rsid w:val="001E4D6C"/>
    <w:rsid w:val="001E4F38"/>
    <w:rsid w:val="001E5218"/>
    <w:rsid w:val="001E567C"/>
    <w:rsid w:val="001E5B34"/>
    <w:rsid w:val="001E5FB7"/>
    <w:rsid w:val="001E6196"/>
    <w:rsid w:val="001E6B83"/>
    <w:rsid w:val="001E6F2E"/>
    <w:rsid w:val="001E7841"/>
    <w:rsid w:val="001E7D34"/>
    <w:rsid w:val="001E7D67"/>
    <w:rsid w:val="001F0039"/>
    <w:rsid w:val="001F0F06"/>
    <w:rsid w:val="001F146B"/>
    <w:rsid w:val="001F167D"/>
    <w:rsid w:val="001F189F"/>
    <w:rsid w:val="001F2309"/>
    <w:rsid w:val="001F2503"/>
    <w:rsid w:val="001F281C"/>
    <w:rsid w:val="001F2AD2"/>
    <w:rsid w:val="001F389B"/>
    <w:rsid w:val="001F3A2F"/>
    <w:rsid w:val="001F452C"/>
    <w:rsid w:val="001F4EB1"/>
    <w:rsid w:val="001F55D9"/>
    <w:rsid w:val="001F5C4B"/>
    <w:rsid w:val="001F5DC1"/>
    <w:rsid w:val="001F6122"/>
    <w:rsid w:val="001F636A"/>
    <w:rsid w:val="001F6396"/>
    <w:rsid w:val="001F6AFB"/>
    <w:rsid w:val="001F722F"/>
    <w:rsid w:val="001F73B5"/>
    <w:rsid w:val="001F75CE"/>
    <w:rsid w:val="00200529"/>
    <w:rsid w:val="002006FB"/>
    <w:rsid w:val="00200F06"/>
    <w:rsid w:val="002018B0"/>
    <w:rsid w:val="00201D09"/>
    <w:rsid w:val="00201DEB"/>
    <w:rsid w:val="00202FD8"/>
    <w:rsid w:val="002036F5"/>
    <w:rsid w:val="00203A8B"/>
    <w:rsid w:val="00203C25"/>
    <w:rsid w:val="00203DB1"/>
    <w:rsid w:val="0020445F"/>
    <w:rsid w:val="002048B8"/>
    <w:rsid w:val="00205972"/>
    <w:rsid w:val="00206CD3"/>
    <w:rsid w:val="00206D32"/>
    <w:rsid w:val="002075AA"/>
    <w:rsid w:val="00207DDF"/>
    <w:rsid w:val="002104A5"/>
    <w:rsid w:val="00211157"/>
    <w:rsid w:val="0021123A"/>
    <w:rsid w:val="00211619"/>
    <w:rsid w:val="002116D3"/>
    <w:rsid w:val="00211948"/>
    <w:rsid w:val="00211A97"/>
    <w:rsid w:val="00211B34"/>
    <w:rsid w:val="0021250D"/>
    <w:rsid w:val="002129B3"/>
    <w:rsid w:val="00212DB6"/>
    <w:rsid w:val="0021320C"/>
    <w:rsid w:val="00213FB9"/>
    <w:rsid w:val="0021441A"/>
    <w:rsid w:val="00214D3E"/>
    <w:rsid w:val="00215540"/>
    <w:rsid w:val="00215B12"/>
    <w:rsid w:val="00215C10"/>
    <w:rsid w:val="00216879"/>
    <w:rsid w:val="00216C16"/>
    <w:rsid w:val="00216D3A"/>
    <w:rsid w:val="00216D88"/>
    <w:rsid w:val="00216F64"/>
    <w:rsid w:val="00217732"/>
    <w:rsid w:val="00217840"/>
    <w:rsid w:val="00217E1B"/>
    <w:rsid w:val="0022002A"/>
    <w:rsid w:val="00220295"/>
    <w:rsid w:val="002204B2"/>
    <w:rsid w:val="00220843"/>
    <w:rsid w:val="00220A23"/>
    <w:rsid w:val="00221905"/>
    <w:rsid w:val="00221AB7"/>
    <w:rsid w:val="00221E0F"/>
    <w:rsid w:val="00222683"/>
    <w:rsid w:val="00222807"/>
    <w:rsid w:val="00222839"/>
    <w:rsid w:val="00222B62"/>
    <w:rsid w:val="002231A1"/>
    <w:rsid w:val="00223403"/>
    <w:rsid w:val="00223683"/>
    <w:rsid w:val="002236EE"/>
    <w:rsid w:val="00223B47"/>
    <w:rsid w:val="002240D5"/>
    <w:rsid w:val="00224B1D"/>
    <w:rsid w:val="00225A21"/>
    <w:rsid w:val="00225C7A"/>
    <w:rsid w:val="002262A9"/>
    <w:rsid w:val="00226E0F"/>
    <w:rsid w:val="002275A7"/>
    <w:rsid w:val="002276B3"/>
    <w:rsid w:val="00227D7B"/>
    <w:rsid w:val="002300CC"/>
    <w:rsid w:val="0023064E"/>
    <w:rsid w:val="002306DE"/>
    <w:rsid w:val="00230FD6"/>
    <w:rsid w:val="002313A9"/>
    <w:rsid w:val="00231860"/>
    <w:rsid w:val="00231D21"/>
    <w:rsid w:val="00232D53"/>
    <w:rsid w:val="002332BB"/>
    <w:rsid w:val="00233AF5"/>
    <w:rsid w:val="00234514"/>
    <w:rsid w:val="00235513"/>
    <w:rsid w:val="00235735"/>
    <w:rsid w:val="00235E57"/>
    <w:rsid w:val="00235F18"/>
    <w:rsid w:val="00235FC3"/>
    <w:rsid w:val="00236486"/>
    <w:rsid w:val="002367E7"/>
    <w:rsid w:val="00236942"/>
    <w:rsid w:val="00236F79"/>
    <w:rsid w:val="002379AF"/>
    <w:rsid w:val="00237FC8"/>
    <w:rsid w:val="002404E0"/>
    <w:rsid w:val="002405F9"/>
    <w:rsid w:val="00240896"/>
    <w:rsid w:val="0024094B"/>
    <w:rsid w:val="00240F8A"/>
    <w:rsid w:val="002414EB"/>
    <w:rsid w:val="002419D8"/>
    <w:rsid w:val="002423C7"/>
    <w:rsid w:val="00242AF6"/>
    <w:rsid w:val="00243152"/>
    <w:rsid w:val="0024385A"/>
    <w:rsid w:val="00243D20"/>
    <w:rsid w:val="00243FC8"/>
    <w:rsid w:val="00244286"/>
    <w:rsid w:val="002443B5"/>
    <w:rsid w:val="00244B0F"/>
    <w:rsid w:val="00244BB8"/>
    <w:rsid w:val="002456EF"/>
    <w:rsid w:val="002458B2"/>
    <w:rsid w:val="00245926"/>
    <w:rsid w:val="00245F0B"/>
    <w:rsid w:val="002468EA"/>
    <w:rsid w:val="00246DFB"/>
    <w:rsid w:val="00246EBB"/>
    <w:rsid w:val="00247099"/>
    <w:rsid w:val="00247586"/>
    <w:rsid w:val="0024761C"/>
    <w:rsid w:val="002478B2"/>
    <w:rsid w:val="0025003A"/>
    <w:rsid w:val="0025026F"/>
    <w:rsid w:val="00250BF1"/>
    <w:rsid w:val="00250E1D"/>
    <w:rsid w:val="00251CB6"/>
    <w:rsid w:val="00251E5A"/>
    <w:rsid w:val="0025226B"/>
    <w:rsid w:val="00252309"/>
    <w:rsid w:val="002525AD"/>
    <w:rsid w:val="002526F1"/>
    <w:rsid w:val="00252B39"/>
    <w:rsid w:val="00252D8B"/>
    <w:rsid w:val="00252DE2"/>
    <w:rsid w:val="002530F8"/>
    <w:rsid w:val="002531BE"/>
    <w:rsid w:val="0025330B"/>
    <w:rsid w:val="00253661"/>
    <w:rsid w:val="00253BA2"/>
    <w:rsid w:val="00254480"/>
    <w:rsid w:val="00254A55"/>
    <w:rsid w:val="00254AAA"/>
    <w:rsid w:val="00254B9C"/>
    <w:rsid w:val="00254D42"/>
    <w:rsid w:val="0025517E"/>
    <w:rsid w:val="0025518E"/>
    <w:rsid w:val="00255877"/>
    <w:rsid w:val="00255A48"/>
    <w:rsid w:val="00255AF1"/>
    <w:rsid w:val="00255C49"/>
    <w:rsid w:val="00255C83"/>
    <w:rsid w:val="00255DC1"/>
    <w:rsid w:val="00255F34"/>
    <w:rsid w:val="00256250"/>
    <w:rsid w:val="002562FF"/>
    <w:rsid w:val="00256893"/>
    <w:rsid w:val="00256B75"/>
    <w:rsid w:val="0025729B"/>
    <w:rsid w:val="00257765"/>
    <w:rsid w:val="00257F51"/>
    <w:rsid w:val="00260823"/>
    <w:rsid w:val="0026107C"/>
    <w:rsid w:val="002610C9"/>
    <w:rsid w:val="00261413"/>
    <w:rsid w:val="002617DA"/>
    <w:rsid w:val="00261BDD"/>
    <w:rsid w:val="00263561"/>
    <w:rsid w:val="0026366B"/>
    <w:rsid w:val="00263903"/>
    <w:rsid w:val="0026414F"/>
    <w:rsid w:val="002642DD"/>
    <w:rsid w:val="002643C8"/>
    <w:rsid w:val="002646A7"/>
    <w:rsid w:val="00264BE7"/>
    <w:rsid w:val="0026583D"/>
    <w:rsid w:val="0026594E"/>
    <w:rsid w:val="00267165"/>
    <w:rsid w:val="00267458"/>
    <w:rsid w:val="002676C4"/>
    <w:rsid w:val="00267757"/>
    <w:rsid w:val="00267C14"/>
    <w:rsid w:val="0027061C"/>
    <w:rsid w:val="002707CF"/>
    <w:rsid w:val="0027199E"/>
    <w:rsid w:val="0027241F"/>
    <w:rsid w:val="00272433"/>
    <w:rsid w:val="0027245E"/>
    <w:rsid w:val="00272C39"/>
    <w:rsid w:val="00272F42"/>
    <w:rsid w:val="00273DC1"/>
    <w:rsid w:val="00273E32"/>
    <w:rsid w:val="00274221"/>
    <w:rsid w:val="0027466C"/>
    <w:rsid w:val="002748D6"/>
    <w:rsid w:val="00274BB7"/>
    <w:rsid w:val="00275448"/>
    <w:rsid w:val="00275511"/>
    <w:rsid w:val="002755A6"/>
    <w:rsid w:val="00275853"/>
    <w:rsid w:val="00275C41"/>
    <w:rsid w:val="00275CEF"/>
    <w:rsid w:val="00276473"/>
    <w:rsid w:val="00276538"/>
    <w:rsid w:val="0027706E"/>
    <w:rsid w:val="00277254"/>
    <w:rsid w:val="00277C4A"/>
    <w:rsid w:val="00277E54"/>
    <w:rsid w:val="00280211"/>
    <w:rsid w:val="0028076A"/>
    <w:rsid w:val="00280BEC"/>
    <w:rsid w:val="00280DE5"/>
    <w:rsid w:val="002821F8"/>
    <w:rsid w:val="0028259C"/>
    <w:rsid w:val="002828A6"/>
    <w:rsid w:val="00282D55"/>
    <w:rsid w:val="00282D58"/>
    <w:rsid w:val="002830CB"/>
    <w:rsid w:val="002832A7"/>
    <w:rsid w:val="00283686"/>
    <w:rsid w:val="00283697"/>
    <w:rsid w:val="0028373E"/>
    <w:rsid w:val="002853F4"/>
    <w:rsid w:val="002857A1"/>
    <w:rsid w:val="00285B65"/>
    <w:rsid w:val="00285FD5"/>
    <w:rsid w:val="002861E2"/>
    <w:rsid w:val="00286322"/>
    <w:rsid w:val="00286A22"/>
    <w:rsid w:val="00286A34"/>
    <w:rsid w:val="00286F0C"/>
    <w:rsid w:val="00287002"/>
    <w:rsid w:val="002872DB"/>
    <w:rsid w:val="002873D1"/>
    <w:rsid w:val="00287ADC"/>
    <w:rsid w:val="00287B3B"/>
    <w:rsid w:val="00287F14"/>
    <w:rsid w:val="00290046"/>
    <w:rsid w:val="00290427"/>
    <w:rsid w:val="002910F5"/>
    <w:rsid w:val="002917FD"/>
    <w:rsid w:val="00291962"/>
    <w:rsid w:val="002921BE"/>
    <w:rsid w:val="00292571"/>
    <w:rsid w:val="00292675"/>
    <w:rsid w:val="002927BF"/>
    <w:rsid w:val="002929E2"/>
    <w:rsid w:val="00293B02"/>
    <w:rsid w:val="00293DBA"/>
    <w:rsid w:val="00293FF6"/>
    <w:rsid w:val="00294390"/>
    <w:rsid w:val="0029483D"/>
    <w:rsid w:val="00295310"/>
    <w:rsid w:val="0029552D"/>
    <w:rsid w:val="00295572"/>
    <w:rsid w:val="00295706"/>
    <w:rsid w:val="00295989"/>
    <w:rsid w:val="00295B34"/>
    <w:rsid w:val="00295C7D"/>
    <w:rsid w:val="00295D05"/>
    <w:rsid w:val="0029718C"/>
    <w:rsid w:val="00297240"/>
    <w:rsid w:val="002976D8"/>
    <w:rsid w:val="00297E7A"/>
    <w:rsid w:val="002A092B"/>
    <w:rsid w:val="002A0B23"/>
    <w:rsid w:val="002A0F11"/>
    <w:rsid w:val="002A122F"/>
    <w:rsid w:val="002A16B9"/>
    <w:rsid w:val="002A190E"/>
    <w:rsid w:val="002A1C10"/>
    <w:rsid w:val="002A1EF8"/>
    <w:rsid w:val="002A2200"/>
    <w:rsid w:val="002A23C6"/>
    <w:rsid w:val="002A3297"/>
    <w:rsid w:val="002A3343"/>
    <w:rsid w:val="002A3431"/>
    <w:rsid w:val="002A39A3"/>
    <w:rsid w:val="002A3D23"/>
    <w:rsid w:val="002A3EA5"/>
    <w:rsid w:val="002A4761"/>
    <w:rsid w:val="002A4F51"/>
    <w:rsid w:val="002A530C"/>
    <w:rsid w:val="002A5378"/>
    <w:rsid w:val="002A62FD"/>
    <w:rsid w:val="002A6C86"/>
    <w:rsid w:val="002A77EF"/>
    <w:rsid w:val="002A7E15"/>
    <w:rsid w:val="002B0169"/>
    <w:rsid w:val="002B03CA"/>
    <w:rsid w:val="002B0440"/>
    <w:rsid w:val="002B068A"/>
    <w:rsid w:val="002B07C2"/>
    <w:rsid w:val="002B0868"/>
    <w:rsid w:val="002B12B0"/>
    <w:rsid w:val="002B1367"/>
    <w:rsid w:val="002B1B82"/>
    <w:rsid w:val="002B1CE9"/>
    <w:rsid w:val="002B256B"/>
    <w:rsid w:val="002B2D47"/>
    <w:rsid w:val="002B3772"/>
    <w:rsid w:val="002B3B10"/>
    <w:rsid w:val="002B3BCD"/>
    <w:rsid w:val="002B3DC3"/>
    <w:rsid w:val="002B4AF1"/>
    <w:rsid w:val="002B4B2D"/>
    <w:rsid w:val="002B564E"/>
    <w:rsid w:val="002B5A74"/>
    <w:rsid w:val="002B5A81"/>
    <w:rsid w:val="002B5B21"/>
    <w:rsid w:val="002B5E95"/>
    <w:rsid w:val="002B6191"/>
    <w:rsid w:val="002B6247"/>
    <w:rsid w:val="002B632F"/>
    <w:rsid w:val="002B6588"/>
    <w:rsid w:val="002B670A"/>
    <w:rsid w:val="002B687B"/>
    <w:rsid w:val="002B6AD1"/>
    <w:rsid w:val="002B6B29"/>
    <w:rsid w:val="002B74EA"/>
    <w:rsid w:val="002B750B"/>
    <w:rsid w:val="002B7A44"/>
    <w:rsid w:val="002B7E19"/>
    <w:rsid w:val="002C00BE"/>
    <w:rsid w:val="002C0673"/>
    <w:rsid w:val="002C0A1E"/>
    <w:rsid w:val="002C12E6"/>
    <w:rsid w:val="002C15F3"/>
    <w:rsid w:val="002C18F3"/>
    <w:rsid w:val="002C1BD2"/>
    <w:rsid w:val="002C1CA4"/>
    <w:rsid w:val="002C1EB3"/>
    <w:rsid w:val="002C2425"/>
    <w:rsid w:val="002C3763"/>
    <w:rsid w:val="002C3962"/>
    <w:rsid w:val="002C3FEF"/>
    <w:rsid w:val="002C4189"/>
    <w:rsid w:val="002C428B"/>
    <w:rsid w:val="002C4519"/>
    <w:rsid w:val="002C4B25"/>
    <w:rsid w:val="002C4B65"/>
    <w:rsid w:val="002C4BF2"/>
    <w:rsid w:val="002C5472"/>
    <w:rsid w:val="002C5554"/>
    <w:rsid w:val="002C5BCE"/>
    <w:rsid w:val="002C5FD4"/>
    <w:rsid w:val="002C660A"/>
    <w:rsid w:val="002C6E5C"/>
    <w:rsid w:val="002C712D"/>
    <w:rsid w:val="002C7316"/>
    <w:rsid w:val="002C748D"/>
    <w:rsid w:val="002C7576"/>
    <w:rsid w:val="002C7969"/>
    <w:rsid w:val="002D011A"/>
    <w:rsid w:val="002D0853"/>
    <w:rsid w:val="002D0DD9"/>
    <w:rsid w:val="002D0F4E"/>
    <w:rsid w:val="002D0FE7"/>
    <w:rsid w:val="002D13A3"/>
    <w:rsid w:val="002D2259"/>
    <w:rsid w:val="002D254B"/>
    <w:rsid w:val="002D3103"/>
    <w:rsid w:val="002D3173"/>
    <w:rsid w:val="002D3F29"/>
    <w:rsid w:val="002D41F3"/>
    <w:rsid w:val="002D4290"/>
    <w:rsid w:val="002D47B6"/>
    <w:rsid w:val="002D5F49"/>
    <w:rsid w:val="002D66C4"/>
    <w:rsid w:val="002D68DE"/>
    <w:rsid w:val="002D6B3F"/>
    <w:rsid w:val="002D6B7C"/>
    <w:rsid w:val="002D6D5E"/>
    <w:rsid w:val="002D6E39"/>
    <w:rsid w:val="002D6E8C"/>
    <w:rsid w:val="002D71A5"/>
    <w:rsid w:val="002D733B"/>
    <w:rsid w:val="002D73E9"/>
    <w:rsid w:val="002D755A"/>
    <w:rsid w:val="002D7642"/>
    <w:rsid w:val="002D768E"/>
    <w:rsid w:val="002D7D2C"/>
    <w:rsid w:val="002D7DE4"/>
    <w:rsid w:val="002D7E3F"/>
    <w:rsid w:val="002E02E4"/>
    <w:rsid w:val="002E0456"/>
    <w:rsid w:val="002E067C"/>
    <w:rsid w:val="002E06FC"/>
    <w:rsid w:val="002E07F1"/>
    <w:rsid w:val="002E0B5E"/>
    <w:rsid w:val="002E0C49"/>
    <w:rsid w:val="002E0FB4"/>
    <w:rsid w:val="002E162E"/>
    <w:rsid w:val="002E16E0"/>
    <w:rsid w:val="002E1865"/>
    <w:rsid w:val="002E2243"/>
    <w:rsid w:val="002E2344"/>
    <w:rsid w:val="002E32AA"/>
    <w:rsid w:val="002E33D1"/>
    <w:rsid w:val="002E42FA"/>
    <w:rsid w:val="002E43FF"/>
    <w:rsid w:val="002E4B2C"/>
    <w:rsid w:val="002E4BE7"/>
    <w:rsid w:val="002E50A1"/>
    <w:rsid w:val="002E5141"/>
    <w:rsid w:val="002E5478"/>
    <w:rsid w:val="002E5497"/>
    <w:rsid w:val="002E584B"/>
    <w:rsid w:val="002E5E9F"/>
    <w:rsid w:val="002E6D3A"/>
    <w:rsid w:val="002E6E6C"/>
    <w:rsid w:val="002E797F"/>
    <w:rsid w:val="002E7B89"/>
    <w:rsid w:val="002E7D07"/>
    <w:rsid w:val="002F049B"/>
    <w:rsid w:val="002F04B3"/>
    <w:rsid w:val="002F05C7"/>
    <w:rsid w:val="002F094D"/>
    <w:rsid w:val="002F0996"/>
    <w:rsid w:val="002F0F8F"/>
    <w:rsid w:val="002F123F"/>
    <w:rsid w:val="002F1670"/>
    <w:rsid w:val="002F1F8E"/>
    <w:rsid w:val="002F2457"/>
    <w:rsid w:val="002F24B4"/>
    <w:rsid w:val="002F29AE"/>
    <w:rsid w:val="002F3172"/>
    <w:rsid w:val="002F3394"/>
    <w:rsid w:val="002F40D0"/>
    <w:rsid w:val="002F41C4"/>
    <w:rsid w:val="002F4866"/>
    <w:rsid w:val="002F50A5"/>
    <w:rsid w:val="002F51B4"/>
    <w:rsid w:val="002F6026"/>
    <w:rsid w:val="002F6230"/>
    <w:rsid w:val="002F6317"/>
    <w:rsid w:val="002F64F0"/>
    <w:rsid w:val="002F6F77"/>
    <w:rsid w:val="002F7160"/>
    <w:rsid w:val="002F7188"/>
    <w:rsid w:val="002F727E"/>
    <w:rsid w:val="002F73D8"/>
    <w:rsid w:val="002F7445"/>
    <w:rsid w:val="002F77C5"/>
    <w:rsid w:val="002F7909"/>
    <w:rsid w:val="002F79FF"/>
    <w:rsid w:val="002F7E48"/>
    <w:rsid w:val="003001D4"/>
    <w:rsid w:val="003004ED"/>
    <w:rsid w:val="0030076C"/>
    <w:rsid w:val="003013E2"/>
    <w:rsid w:val="00301BDA"/>
    <w:rsid w:val="00302A8B"/>
    <w:rsid w:val="00302AC3"/>
    <w:rsid w:val="00303E78"/>
    <w:rsid w:val="00305325"/>
    <w:rsid w:val="00306003"/>
    <w:rsid w:val="003065BA"/>
    <w:rsid w:val="00306642"/>
    <w:rsid w:val="003073E1"/>
    <w:rsid w:val="0030765C"/>
    <w:rsid w:val="00310DE1"/>
    <w:rsid w:val="0031110C"/>
    <w:rsid w:val="003116F8"/>
    <w:rsid w:val="00312C33"/>
    <w:rsid w:val="00312EC3"/>
    <w:rsid w:val="00313ED6"/>
    <w:rsid w:val="00314693"/>
    <w:rsid w:val="00314B90"/>
    <w:rsid w:val="003150C4"/>
    <w:rsid w:val="0031518C"/>
    <w:rsid w:val="003156D1"/>
    <w:rsid w:val="003159D8"/>
    <w:rsid w:val="00315B1B"/>
    <w:rsid w:val="00315F69"/>
    <w:rsid w:val="00316592"/>
    <w:rsid w:val="003178BA"/>
    <w:rsid w:val="00317A61"/>
    <w:rsid w:val="00317C99"/>
    <w:rsid w:val="00317CBF"/>
    <w:rsid w:val="00317F4A"/>
    <w:rsid w:val="00317F4B"/>
    <w:rsid w:val="003207FA"/>
    <w:rsid w:val="00320C64"/>
    <w:rsid w:val="00321F98"/>
    <w:rsid w:val="003221C5"/>
    <w:rsid w:val="0032308F"/>
    <w:rsid w:val="003235A8"/>
    <w:rsid w:val="00323A18"/>
    <w:rsid w:val="00323C6A"/>
    <w:rsid w:val="00323FBE"/>
    <w:rsid w:val="00324280"/>
    <w:rsid w:val="0032438C"/>
    <w:rsid w:val="00324821"/>
    <w:rsid w:val="00324AAC"/>
    <w:rsid w:val="00324BB4"/>
    <w:rsid w:val="00325352"/>
    <w:rsid w:val="00325362"/>
    <w:rsid w:val="00325656"/>
    <w:rsid w:val="00325799"/>
    <w:rsid w:val="003257F1"/>
    <w:rsid w:val="003258CD"/>
    <w:rsid w:val="003267DA"/>
    <w:rsid w:val="00326DE0"/>
    <w:rsid w:val="0032715B"/>
    <w:rsid w:val="00327BBD"/>
    <w:rsid w:val="003307B8"/>
    <w:rsid w:val="00330B6E"/>
    <w:rsid w:val="00331250"/>
    <w:rsid w:val="003314BF"/>
    <w:rsid w:val="00331FC1"/>
    <w:rsid w:val="003322E3"/>
    <w:rsid w:val="00332337"/>
    <w:rsid w:val="00332941"/>
    <w:rsid w:val="0033294D"/>
    <w:rsid w:val="0033314C"/>
    <w:rsid w:val="003332AA"/>
    <w:rsid w:val="0033339B"/>
    <w:rsid w:val="003335D3"/>
    <w:rsid w:val="003340CE"/>
    <w:rsid w:val="003348DC"/>
    <w:rsid w:val="00334965"/>
    <w:rsid w:val="00334AD0"/>
    <w:rsid w:val="00334DC6"/>
    <w:rsid w:val="003352EE"/>
    <w:rsid w:val="0033615D"/>
    <w:rsid w:val="00340162"/>
    <w:rsid w:val="0034039C"/>
    <w:rsid w:val="00340C82"/>
    <w:rsid w:val="00341415"/>
    <w:rsid w:val="0034149E"/>
    <w:rsid w:val="0034163B"/>
    <w:rsid w:val="00341971"/>
    <w:rsid w:val="00342536"/>
    <w:rsid w:val="00342AF9"/>
    <w:rsid w:val="00343052"/>
    <w:rsid w:val="00343225"/>
    <w:rsid w:val="0034376D"/>
    <w:rsid w:val="0034401C"/>
    <w:rsid w:val="003445C7"/>
    <w:rsid w:val="00344A9B"/>
    <w:rsid w:val="00344C34"/>
    <w:rsid w:val="0034505B"/>
    <w:rsid w:val="003453FC"/>
    <w:rsid w:val="003454E6"/>
    <w:rsid w:val="00345698"/>
    <w:rsid w:val="00345A82"/>
    <w:rsid w:val="00345E9C"/>
    <w:rsid w:val="00346DF2"/>
    <w:rsid w:val="00347552"/>
    <w:rsid w:val="003476B9"/>
    <w:rsid w:val="003479F0"/>
    <w:rsid w:val="00347E7E"/>
    <w:rsid w:val="00350525"/>
    <w:rsid w:val="00350554"/>
    <w:rsid w:val="0035062A"/>
    <w:rsid w:val="00351149"/>
    <w:rsid w:val="003511FB"/>
    <w:rsid w:val="00351D8C"/>
    <w:rsid w:val="0035213B"/>
    <w:rsid w:val="0035295C"/>
    <w:rsid w:val="00352ACD"/>
    <w:rsid w:val="00352FD0"/>
    <w:rsid w:val="0035320A"/>
    <w:rsid w:val="003532A7"/>
    <w:rsid w:val="00353812"/>
    <w:rsid w:val="00353E16"/>
    <w:rsid w:val="003543F7"/>
    <w:rsid w:val="00354A91"/>
    <w:rsid w:val="00354C6D"/>
    <w:rsid w:val="003550AD"/>
    <w:rsid w:val="00355125"/>
    <w:rsid w:val="003551CA"/>
    <w:rsid w:val="003552F0"/>
    <w:rsid w:val="0035541B"/>
    <w:rsid w:val="003555B5"/>
    <w:rsid w:val="00355952"/>
    <w:rsid w:val="0035595D"/>
    <w:rsid w:val="003561F3"/>
    <w:rsid w:val="00356232"/>
    <w:rsid w:val="003566F8"/>
    <w:rsid w:val="00356C32"/>
    <w:rsid w:val="0035724D"/>
    <w:rsid w:val="003574BE"/>
    <w:rsid w:val="00360191"/>
    <w:rsid w:val="003604D4"/>
    <w:rsid w:val="00360759"/>
    <w:rsid w:val="0036089E"/>
    <w:rsid w:val="003611B5"/>
    <w:rsid w:val="0036183C"/>
    <w:rsid w:val="00361D9E"/>
    <w:rsid w:val="0036226E"/>
    <w:rsid w:val="0036268A"/>
    <w:rsid w:val="003627BD"/>
    <w:rsid w:val="003629E3"/>
    <w:rsid w:val="00363235"/>
    <w:rsid w:val="00363924"/>
    <w:rsid w:val="00363A6D"/>
    <w:rsid w:val="00363F2B"/>
    <w:rsid w:val="003642A8"/>
    <w:rsid w:val="00364518"/>
    <w:rsid w:val="00365320"/>
    <w:rsid w:val="0036556F"/>
    <w:rsid w:val="0036561E"/>
    <w:rsid w:val="003659E3"/>
    <w:rsid w:val="00365A52"/>
    <w:rsid w:val="00365FEF"/>
    <w:rsid w:val="00366291"/>
    <w:rsid w:val="0036670F"/>
    <w:rsid w:val="0036699C"/>
    <w:rsid w:val="00367685"/>
    <w:rsid w:val="0036770D"/>
    <w:rsid w:val="00370109"/>
    <w:rsid w:val="003706A1"/>
    <w:rsid w:val="0037089F"/>
    <w:rsid w:val="003708D2"/>
    <w:rsid w:val="00370AD3"/>
    <w:rsid w:val="00370C3D"/>
    <w:rsid w:val="00370CD4"/>
    <w:rsid w:val="00371080"/>
    <w:rsid w:val="00371185"/>
    <w:rsid w:val="003714D0"/>
    <w:rsid w:val="0037158D"/>
    <w:rsid w:val="00371715"/>
    <w:rsid w:val="0037174A"/>
    <w:rsid w:val="00371D3A"/>
    <w:rsid w:val="003721EF"/>
    <w:rsid w:val="00372C92"/>
    <w:rsid w:val="00373002"/>
    <w:rsid w:val="00373179"/>
    <w:rsid w:val="0037322E"/>
    <w:rsid w:val="003734F4"/>
    <w:rsid w:val="00373C99"/>
    <w:rsid w:val="003740D9"/>
    <w:rsid w:val="0037453C"/>
    <w:rsid w:val="00374EFB"/>
    <w:rsid w:val="00375B79"/>
    <w:rsid w:val="00375BA2"/>
    <w:rsid w:val="00375E0F"/>
    <w:rsid w:val="003760BC"/>
    <w:rsid w:val="00377371"/>
    <w:rsid w:val="003773C7"/>
    <w:rsid w:val="003807FF"/>
    <w:rsid w:val="003809AA"/>
    <w:rsid w:val="00380CF3"/>
    <w:rsid w:val="0038106E"/>
    <w:rsid w:val="00381277"/>
    <w:rsid w:val="00381484"/>
    <w:rsid w:val="003814A2"/>
    <w:rsid w:val="0038150F"/>
    <w:rsid w:val="003816EF"/>
    <w:rsid w:val="00381ACC"/>
    <w:rsid w:val="00381F47"/>
    <w:rsid w:val="003824C0"/>
    <w:rsid w:val="00382CD3"/>
    <w:rsid w:val="00383409"/>
    <w:rsid w:val="003838E4"/>
    <w:rsid w:val="003839BB"/>
    <w:rsid w:val="00383B33"/>
    <w:rsid w:val="003845DF"/>
    <w:rsid w:val="003847A2"/>
    <w:rsid w:val="00384BCF"/>
    <w:rsid w:val="00384F76"/>
    <w:rsid w:val="00384FED"/>
    <w:rsid w:val="00385346"/>
    <w:rsid w:val="0038580C"/>
    <w:rsid w:val="00385C6A"/>
    <w:rsid w:val="00386955"/>
    <w:rsid w:val="00386B08"/>
    <w:rsid w:val="00386F12"/>
    <w:rsid w:val="003878E1"/>
    <w:rsid w:val="00387A75"/>
    <w:rsid w:val="00387C5D"/>
    <w:rsid w:val="003900D2"/>
    <w:rsid w:val="0039049F"/>
    <w:rsid w:val="003906DB"/>
    <w:rsid w:val="00390A94"/>
    <w:rsid w:val="003912D8"/>
    <w:rsid w:val="003913EE"/>
    <w:rsid w:val="003917A1"/>
    <w:rsid w:val="003920B1"/>
    <w:rsid w:val="00392179"/>
    <w:rsid w:val="0039225F"/>
    <w:rsid w:val="003927EC"/>
    <w:rsid w:val="003928D1"/>
    <w:rsid w:val="00392CCB"/>
    <w:rsid w:val="0039319E"/>
    <w:rsid w:val="00393203"/>
    <w:rsid w:val="003934F4"/>
    <w:rsid w:val="003935B1"/>
    <w:rsid w:val="00394355"/>
    <w:rsid w:val="0039493D"/>
    <w:rsid w:val="0039497E"/>
    <w:rsid w:val="00394BEF"/>
    <w:rsid w:val="003951D5"/>
    <w:rsid w:val="0039532C"/>
    <w:rsid w:val="003955C0"/>
    <w:rsid w:val="003957E6"/>
    <w:rsid w:val="003966FF"/>
    <w:rsid w:val="00396708"/>
    <w:rsid w:val="00396BBC"/>
    <w:rsid w:val="00396C6E"/>
    <w:rsid w:val="00396E37"/>
    <w:rsid w:val="00396E8C"/>
    <w:rsid w:val="003973A1"/>
    <w:rsid w:val="0039752B"/>
    <w:rsid w:val="0039786B"/>
    <w:rsid w:val="00397B38"/>
    <w:rsid w:val="003A020B"/>
    <w:rsid w:val="003A0993"/>
    <w:rsid w:val="003A0DC6"/>
    <w:rsid w:val="003A11BB"/>
    <w:rsid w:val="003A1282"/>
    <w:rsid w:val="003A17BA"/>
    <w:rsid w:val="003A2A98"/>
    <w:rsid w:val="003A2DB2"/>
    <w:rsid w:val="003A3225"/>
    <w:rsid w:val="003A3416"/>
    <w:rsid w:val="003A3AE3"/>
    <w:rsid w:val="003A42EB"/>
    <w:rsid w:val="003A493E"/>
    <w:rsid w:val="003A4B35"/>
    <w:rsid w:val="003A4BF1"/>
    <w:rsid w:val="003A4FF2"/>
    <w:rsid w:val="003A5C73"/>
    <w:rsid w:val="003A5E18"/>
    <w:rsid w:val="003A60F7"/>
    <w:rsid w:val="003A62A8"/>
    <w:rsid w:val="003A63C1"/>
    <w:rsid w:val="003A6ADD"/>
    <w:rsid w:val="003A6BE7"/>
    <w:rsid w:val="003A7191"/>
    <w:rsid w:val="003A758E"/>
    <w:rsid w:val="003A75C5"/>
    <w:rsid w:val="003A7B53"/>
    <w:rsid w:val="003B065D"/>
    <w:rsid w:val="003B07C7"/>
    <w:rsid w:val="003B08AB"/>
    <w:rsid w:val="003B0CB4"/>
    <w:rsid w:val="003B11CA"/>
    <w:rsid w:val="003B1D8B"/>
    <w:rsid w:val="003B1E59"/>
    <w:rsid w:val="003B24CD"/>
    <w:rsid w:val="003B33A2"/>
    <w:rsid w:val="003B3DCE"/>
    <w:rsid w:val="003B47C0"/>
    <w:rsid w:val="003B4853"/>
    <w:rsid w:val="003B4B03"/>
    <w:rsid w:val="003B4B64"/>
    <w:rsid w:val="003B5181"/>
    <w:rsid w:val="003B5855"/>
    <w:rsid w:val="003B5893"/>
    <w:rsid w:val="003B7183"/>
    <w:rsid w:val="003B73A1"/>
    <w:rsid w:val="003B7A40"/>
    <w:rsid w:val="003C00ED"/>
    <w:rsid w:val="003C06D3"/>
    <w:rsid w:val="003C0B0F"/>
    <w:rsid w:val="003C0C62"/>
    <w:rsid w:val="003C1252"/>
    <w:rsid w:val="003C1257"/>
    <w:rsid w:val="003C1514"/>
    <w:rsid w:val="003C20CB"/>
    <w:rsid w:val="003C2347"/>
    <w:rsid w:val="003C2E00"/>
    <w:rsid w:val="003C2E6F"/>
    <w:rsid w:val="003C2EAC"/>
    <w:rsid w:val="003C429A"/>
    <w:rsid w:val="003C439A"/>
    <w:rsid w:val="003C4410"/>
    <w:rsid w:val="003C46C9"/>
    <w:rsid w:val="003C4DD6"/>
    <w:rsid w:val="003C4F54"/>
    <w:rsid w:val="003C52EC"/>
    <w:rsid w:val="003C5C00"/>
    <w:rsid w:val="003C5E1E"/>
    <w:rsid w:val="003C639C"/>
    <w:rsid w:val="003C6742"/>
    <w:rsid w:val="003C6AEC"/>
    <w:rsid w:val="003C7603"/>
    <w:rsid w:val="003C79D4"/>
    <w:rsid w:val="003D0099"/>
    <w:rsid w:val="003D01D5"/>
    <w:rsid w:val="003D0947"/>
    <w:rsid w:val="003D0D0B"/>
    <w:rsid w:val="003D0FFB"/>
    <w:rsid w:val="003D1182"/>
    <w:rsid w:val="003D172B"/>
    <w:rsid w:val="003D1C0B"/>
    <w:rsid w:val="003D1DD3"/>
    <w:rsid w:val="003D2C12"/>
    <w:rsid w:val="003D2D30"/>
    <w:rsid w:val="003D2D58"/>
    <w:rsid w:val="003D2DDC"/>
    <w:rsid w:val="003D311C"/>
    <w:rsid w:val="003D3283"/>
    <w:rsid w:val="003D3316"/>
    <w:rsid w:val="003D4E76"/>
    <w:rsid w:val="003D61A0"/>
    <w:rsid w:val="003D636F"/>
    <w:rsid w:val="003D66CC"/>
    <w:rsid w:val="003D6FC5"/>
    <w:rsid w:val="003D726A"/>
    <w:rsid w:val="003D7481"/>
    <w:rsid w:val="003D7837"/>
    <w:rsid w:val="003D7A13"/>
    <w:rsid w:val="003E00D4"/>
    <w:rsid w:val="003E0A19"/>
    <w:rsid w:val="003E178F"/>
    <w:rsid w:val="003E19E1"/>
    <w:rsid w:val="003E200A"/>
    <w:rsid w:val="003E206F"/>
    <w:rsid w:val="003E20E7"/>
    <w:rsid w:val="003E2819"/>
    <w:rsid w:val="003E2CD8"/>
    <w:rsid w:val="003E2F59"/>
    <w:rsid w:val="003E3663"/>
    <w:rsid w:val="003E39A1"/>
    <w:rsid w:val="003E3B45"/>
    <w:rsid w:val="003E4F7B"/>
    <w:rsid w:val="003E5295"/>
    <w:rsid w:val="003E53B7"/>
    <w:rsid w:val="003E5B77"/>
    <w:rsid w:val="003E6134"/>
    <w:rsid w:val="003E62F0"/>
    <w:rsid w:val="003E6AFA"/>
    <w:rsid w:val="003E6DE5"/>
    <w:rsid w:val="003E70AB"/>
    <w:rsid w:val="003E76F1"/>
    <w:rsid w:val="003E7837"/>
    <w:rsid w:val="003E78A4"/>
    <w:rsid w:val="003E7ED9"/>
    <w:rsid w:val="003E7FE4"/>
    <w:rsid w:val="003F0621"/>
    <w:rsid w:val="003F0911"/>
    <w:rsid w:val="003F0C6C"/>
    <w:rsid w:val="003F0D7F"/>
    <w:rsid w:val="003F0E77"/>
    <w:rsid w:val="003F11B7"/>
    <w:rsid w:val="003F15F3"/>
    <w:rsid w:val="003F1948"/>
    <w:rsid w:val="003F19C6"/>
    <w:rsid w:val="003F1A2E"/>
    <w:rsid w:val="003F1FD0"/>
    <w:rsid w:val="003F2529"/>
    <w:rsid w:val="003F28CA"/>
    <w:rsid w:val="003F2DA5"/>
    <w:rsid w:val="003F3201"/>
    <w:rsid w:val="003F32E6"/>
    <w:rsid w:val="003F371F"/>
    <w:rsid w:val="003F3871"/>
    <w:rsid w:val="003F3A9E"/>
    <w:rsid w:val="003F3CED"/>
    <w:rsid w:val="003F423C"/>
    <w:rsid w:val="003F4D54"/>
    <w:rsid w:val="003F50BA"/>
    <w:rsid w:val="003F5125"/>
    <w:rsid w:val="003F516B"/>
    <w:rsid w:val="003F525F"/>
    <w:rsid w:val="003F52DF"/>
    <w:rsid w:val="003F5680"/>
    <w:rsid w:val="003F5692"/>
    <w:rsid w:val="003F57D5"/>
    <w:rsid w:val="003F676A"/>
    <w:rsid w:val="003F6960"/>
    <w:rsid w:val="003F6D78"/>
    <w:rsid w:val="003F6FDD"/>
    <w:rsid w:val="003F7DD1"/>
    <w:rsid w:val="0040092B"/>
    <w:rsid w:val="00400DC7"/>
    <w:rsid w:val="00401207"/>
    <w:rsid w:val="0040147F"/>
    <w:rsid w:val="004015E1"/>
    <w:rsid w:val="00401A09"/>
    <w:rsid w:val="00401FC3"/>
    <w:rsid w:val="004023B6"/>
    <w:rsid w:val="0040300B"/>
    <w:rsid w:val="004030FF"/>
    <w:rsid w:val="004032F2"/>
    <w:rsid w:val="004034DF"/>
    <w:rsid w:val="00403702"/>
    <w:rsid w:val="00403747"/>
    <w:rsid w:val="00403BAB"/>
    <w:rsid w:val="004040F0"/>
    <w:rsid w:val="0040439E"/>
    <w:rsid w:val="0040448B"/>
    <w:rsid w:val="0040474F"/>
    <w:rsid w:val="00405330"/>
    <w:rsid w:val="0040539F"/>
    <w:rsid w:val="00406A52"/>
    <w:rsid w:val="0041043B"/>
    <w:rsid w:val="00410989"/>
    <w:rsid w:val="0041206A"/>
    <w:rsid w:val="00412497"/>
    <w:rsid w:val="004124D9"/>
    <w:rsid w:val="0041267C"/>
    <w:rsid w:val="004129CF"/>
    <w:rsid w:val="004129F4"/>
    <w:rsid w:val="00412B15"/>
    <w:rsid w:val="00412F1B"/>
    <w:rsid w:val="00412F6F"/>
    <w:rsid w:val="00412FE4"/>
    <w:rsid w:val="00413089"/>
    <w:rsid w:val="004135E4"/>
    <w:rsid w:val="0041386B"/>
    <w:rsid w:val="004138C1"/>
    <w:rsid w:val="00413B11"/>
    <w:rsid w:val="004142F8"/>
    <w:rsid w:val="004147D5"/>
    <w:rsid w:val="00414956"/>
    <w:rsid w:val="00414A9F"/>
    <w:rsid w:val="00414C5B"/>
    <w:rsid w:val="00414D81"/>
    <w:rsid w:val="00415157"/>
    <w:rsid w:val="004153A6"/>
    <w:rsid w:val="00415750"/>
    <w:rsid w:val="00415F5A"/>
    <w:rsid w:val="0041656E"/>
    <w:rsid w:val="00416882"/>
    <w:rsid w:val="0041699F"/>
    <w:rsid w:val="00416A97"/>
    <w:rsid w:val="00416B5C"/>
    <w:rsid w:val="00416CB5"/>
    <w:rsid w:val="004170DF"/>
    <w:rsid w:val="00417132"/>
    <w:rsid w:val="00417399"/>
    <w:rsid w:val="00417816"/>
    <w:rsid w:val="00417C5C"/>
    <w:rsid w:val="00417D1E"/>
    <w:rsid w:val="004203D2"/>
    <w:rsid w:val="0042059D"/>
    <w:rsid w:val="00420697"/>
    <w:rsid w:val="00420B52"/>
    <w:rsid w:val="00420C13"/>
    <w:rsid w:val="00420E61"/>
    <w:rsid w:val="00421364"/>
    <w:rsid w:val="00421DFC"/>
    <w:rsid w:val="00421E95"/>
    <w:rsid w:val="0042214B"/>
    <w:rsid w:val="004226F9"/>
    <w:rsid w:val="00422909"/>
    <w:rsid w:val="00422A00"/>
    <w:rsid w:val="00422B99"/>
    <w:rsid w:val="00422F2F"/>
    <w:rsid w:val="004234F7"/>
    <w:rsid w:val="00423F85"/>
    <w:rsid w:val="00424A20"/>
    <w:rsid w:val="00424B20"/>
    <w:rsid w:val="00425084"/>
    <w:rsid w:val="0042571B"/>
    <w:rsid w:val="004257F1"/>
    <w:rsid w:val="00425874"/>
    <w:rsid w:val="00426034"/>
    <w:rsid w:val="0042668C"/>
    <w:rsid w:val="0042684E"/>
    <w:rsid w:val="00426D34"/>
    <w:rsid w:val="0043067C"/>
    <w:rsid w:val="00430E3B"/>
    <w:rsid w:val="00431687"/>
    <w:rsid w:val="00431BA1"/>
    <w:rsid w:val="00431D3F"/>
    <w:rsid w:val="004320EA"/>
    <w:rsid w:val="004320F8"/>
    <w:rsid w:val="00432497"/>
    <w:rsid w:val="00432753"/>
    <w:rsid w:val="00432815"/>
    <w:rsid w:val="00432A75"/>
    <w:rsid w:val="00433020"/>
    <w:rsid w:val="00433398"/>
    <w:rsid w:val="004334B2"/>
    <w:rsid w:val="0043377D"/>
    <w:rsid w:val="004341D7"/>
    <w:rsid w:val="004342C6"/>
    <w:rsid w:val="004348E6"/>
    <w:rsid w:val="00434BB8"/>
    <w:rsid w:val="004351AC"/>
    <w:rsid w:val="004352A2"/>
    <w:rsid w:val="00435342"/>
    <w:rsid w:val="00436041"/>
    <w:rsid w:val="00436081"/>
    <w:rsid w:val="00436164"/>
    <w:rsid w:val="00436276"/>
    <w:rsid w:val="004366B2"/>
    <w:rsid w:val="00437310"/>
    <w:rsid w:val="004374A2"/>
    <w:rsid w:val="004374F2"/>
    <w:rsid w:val="004377E6"/>
    <w:rsid w:val="0044000C"/>
    <w:rsid w:val="00440665"/>
    <w:rsid w:val="004406C8"/>
    <w:rsid w:val="0044078E"/>
    <w:rsid w:val="00440B4E"/>
    <w:rsid w:val="004410A3"/>
    <w:rsid w:val="00441394"/>
    <w:rsid w:val="00441405"/>
    <w:rsid w:val="00441662"/>
    <w:rsid w:val="0044245B"/>
    <w:rsid w:val="00442EDA"/>
    <w:rsid w:val="00443F07"/>
    <w:rsid w:val="004440BB"/>
    <w:rsid w:val="004441E1"/>
    <w:rsid w:val="00444558"/>
    <w:rsid w:val="00444CCB"/>
    <w:rsid w:val="00444D18"/>
    <w:rsid w:val="0044505A"/>
    <w:rsid w:val="00445214"/>
    <w:rsid w:val="0044553E"/>
    <w:rsid w:val="00445624"/>
    <w:rsid w:val="004460CE"/>
    <w:rsid w:val="00446722"/>
    <w:rsid w:val="00447260"/>
    <w:rsid w:val="00447975"/>
    <w:rsid w:val="00447C31"/>
    <w:rsid w:val="00447E08"/>
    <w:rsid w:val="00447F9A"/>
    <w:rsid w:val="0045016C"/>
    <w:rsid w:val="004507AA"/>
    <w:rsid w:val="00451191"/>
    <w:rsid w:val="004512B2"/>
    <w:rsid w:val="004514DE"/>
    <w:rsid w:val="004519A1"/>
    <w:rsid w:val="004519D5"/>
    <w:rsid w:val="00451EC0"/>
    <w:rsid w:val="0045283C"/>
    <w:rsid w:val="00452A79"/>
    <w:rsid w:val="00453130"/>
    <w:rsid w:val="004538F6"/>
    <w:rsid w:val="00453B39"/>
    <w:rsid w:val="00453F61"/>
    <w:rsid w:val="004542C7"/>
    <w:rsid w:val="004543C9"/>
    <w:rsid w:val="004544AB"/>
    <w:rsid w:val="004545A8"/>
    <w:rsid w:val="00454D98"/>
    <w:rsid w:val="00455B71"/>
    <w:rsid w:val="00456278"/>
    <w:rsid w:val="004563D4"/>
    <w:rsid w:val="004564A4"/>
    <w:rsid w:val="00456805"/>
    <w:rsid w:val="004575F2"/>
    <w:rsid w:val="00457724"/>
    <w:rsid w:val="004577AD"/>
    <w:rsid w:val="00457D26"/>
    <w:rsid w:val="0046018B"/>
    <w:rsid w:val="0046066B"/>
    <w:rsid w:val="00460BC1"/>
    <w:rsid w:val="00460CE5"/>
    <w:rsid w:val="00460E97"/>
    <w:rsid w:val="004613A1"/>
    <w:rsid w:val="00461464"/>
    <w:rsid w:val="004619A3"/>
    <w:rsid w:val="00461B47"/>
    <w:rsid w:val="00462011"/>
    <w:rsid w:val="004629B6"/>
    <w:rsid w:val="00462AD2"/>
    <w:rsid w:val="00462B1A"/>
    <w:rsid w:val="00462B6C"/>
    <w:rsid w:val="0046328B"/>
    <w:rsid w:val="004635FA"/>
    <w:rsid w:val="0046392E"/>
    <w:rsid w:val="00463ACE"/>
    <w:rsid w:val="00463DED"/>
    <w:rsid w:val="004641FB"/>
    <w:rsid w:val="0046454F"/>
    <w:rsid w:val="004646CA"/>
    <w:rsid w:val="00464C81"/>
    <w:rsid w:val="004657DB"/>
    <w:rsid w:val="00465B03"/>
    <w:rsid w:val="00465B11"/>
    <w:rsid w:val="00465BF3"/>
    <w:rsid w:val="00465CF9"/>
    <w:rsid w:val="00465D85"/>
    <w:rsid w:val="00466540"/>
    <w:rsid w:val="00466A3C"/>
    <w:rsid w:val="00466BEF"/>
    <w:rsid w:val="00466DD6"/>
    <w:rsid w:val="00466DFE"/>
    <w:rsid w:val="00466E5F"/>
    <w:rsid w:val="004670DC"/>
    <w:rsid w:val="0046744C"/>
    <w:rsid w:val="00467855"/>
    <w:rsid w:val="00467E9B"/>
    <w:rsid w:val="00467FF6"/>
    <w:rsid w:val="004701B5"/>
    <w:rsid w:val="00470354"/>
    <w:rsid w:val="00471BCA"/>
    <w:rsid w:val="00471C01"/>
    <w:rsid w:val="00472A13"/>
    <w:rsid w:val="00472F05"/>
    <w:rsid w:val="00472F87"/>
    <w:rsid w:val="004730C7"/>
    <w:rsid w:val="004732E5"/>
    <w:rsid w:val="004733AE"/>
    <w:rsid w:val="00473415"/>
    <w:rsid w:val="00473B7B"/>
    <w:rsid w:val="00473BF5"/>
    <w:rsid w:val="00473EC7"/>
    <w:rsid w:val="00474210"/>
    <w:rsid w:val="00474459"/>
    <w:rsid w:val="004746AE"/>
    <w:rsid w:val="0047471C"/>
    <w:rsid w:val="0047492A"/>
    <w:rsid w:val="00474D82"/>
    <w:rsid w:val="00475100"/>
    <w:rsid w:val="004751B2"/>
    <w:rsid w:val="00475234"/>
    <w:rsid w:val="004753A8"/>
    <w:rsid w:val="00475D00"/>
    <w:rsid w:val="0047671E"/>
    <w:rsid w:val="00476874"/>
    <w:rsid w:val="00476982"/>
    <w:rsid w:val="00476C5B"/>
    <w:rsid w:val="00477385"/>
    <w:rsid w:val="004773D6"/>
    <w:rsid w:val="00477630"/>
    <w:rsid w:val="004802FE"/>
    <w:rsid w:val="0048077D"/>
    <w:rsid w:val="00481791"/>
    <w:rsid w:val="00481932"/>
    <w:rsid w:val="00481AFF"/>
    <w:rsid w:val="00481E59"/>
    <w:rsid w:val="00482084"/>
    <w:rsid w:val="0048276C"/>
    <w:rsid w:val="00482797"/>
    <w:rsid w:val="00482916"/>
    <w:rsid w:val="00482C66"/>
    <w:rsid w:val="00482FC9"/>
    <w:rsid w:val="004830BF"/>
    <w:rsid w:val="004830C6"/>
    <w:rsid w:val="0048365C"/>
    <w:rsid w:val="004839F6"/>
    <w:rsid w:val="00483A82"/>
    <w:rsid w:val="00484291"/>
    <w:rsid w:val="004844E2"/>
    <w:rsid w:val="004847FF"/>
    <w:rsid w:val="00485E74"/>
    <w:rsid w:val="00486224"/>
    <w:rsid w:val="004864F1"/>
    <w:rsid w:val="00486765"/>
    <w:rsid w:val="00486F61"/>
    <w:rsid w:val="00487078"/>
    <w:rsid w:val="0048739F"/>
    <w:rsid w:val="00487AA3"/>
    <w:rsid w:val="00487C74"/>
    <w:rsid w:val="004905DA"/>
    <w:rsid w:val="00491065"/>
    <w:rsid w:val="0049166A"/>
    <w:rsid w:val="0049182C"/>
    <w:rsid w:val="004921FB"/>
    <w:rsid w:val="0049315B"/>
    <w:rsid w:val="004938F8"/>
    <w:rsid w:val="00493976"/>
    <w:rsid w:val="00493DB5"/>
    <w:rsid w:val="00493EFD"/>
    <w:rsid w:val="004941F7"/>
    <w:rsid w:val="004942CC"/>
    <w:rsid w:val="004945AB"/>
    <w:rsid w:val="00494AAC"/>
    <w:rsid w:val="00494F03"/>
    <w:rsid w:val="004950D3"/>
    <w:rsid w:val="004951F5"/>
    <w:rsid w:val="0049546B"/>
    <w:rsid w:val="0049548C"/>
    <w:rsid w:val="004954BF"/>
    <w:rsid w:val="0049554B"/>
    <w:rsid w:val="004955E6"/>
    <w:rsid w:val="004956E0"/>
    <w:rsid w:val="004956F5"/>
    <w:rsid w:val="004957F0"/>
    <w:rsid w:val="0049582B"/>
    <w:rsid w:val="004958CE"/>
    <w:rsid w:val="00495B07"/>
    <w:rsid w:val="00495B90"/>
    <w:rsid w:val="00495C2E"/>
    <w:rsid w:val="00495F1B"/>
    <w:rsid w:val="00496B56"/>
    <w:rsid w:val="00496D92"/>
    <w:rsid w:val="00496F28"/>
    <w:rsid w:val="00497184"/>
    <w:rsid w:val="004972A5"/>
    <w:rsid w:val="004974C7"/>
    <w:rsid w:val="00497DE1"/>
    <w:rsid w:val="00497EAD"/>
    <w:rsid w:val="004A05B5"/>
    <w:rsid w:val="004A08C4"/>
    <w:rsid w:val="004A0A21"/>
    <w:rsid w:val="004A0D14"/>
    <w:rsid w:val="004A0DFF"/>
    <w:rsid w:val="004A0F08"/>
    <w:rsid w:val="004A13AF"/>
    <w:rsid w:val="004A1DF4"/>
    <w:rsid w:val="004A1F7A"/>
    <w:rsid w:val="004A257C"/>
    <w:rsid w:val="004A33E9"/>
    <w:rsid w:val="004A364C"/>
    <w:rsid w:val="004A398A"/>
    <w:rsid w:val="004A3C45"/>
    <w:rsid w:val="004A40F6"/>
    <w:rsid w:val="004A4611"/>
    <w:rsid w:val="004A47AC"/>
    <w:rsid w:val="004A5659"/>
    <w:rsid w:val="004A57F1"/>
    <w:rsid w:val="004A5C16"/>
    <w:rsid w:val="004A5F64"/>
    <w:rsid w:val="004A6256"/>
    <w:rsid w:val="004A64CC"/>
    <w:rsid w:val="004A665D"/>
    <w:rsid w:val="004A6D3A"/>
    <w:rsid w:val="004A74A8"/>
    <w:rsid w:val="004A786C"/>
    <w:rsid w:val="004A789E"/>
    <w:rsid w:val="004A7CC5"/>
    <w:rsid w:val="004A7CDB"/>
    <w:rsid w:val="004A7F52"/>
    <w:rsid w:val="004B01F0"/>
    <w:rsid w:val="004B0F27"/>
    <w:rsid w:val="004B1641"/>
    <w:rsid w:val="004B1A92"/>
    <w:rsid w:val="004B1C6E"/>
    <w:rsid w:val="004B2BA6"/>
    <w:rsid w:val="004B2C3E"/>
    <w:rsid w:val="004B348D"/>
    <w:rsid w:val="004B3DE0"/>
    <w:rsid w:val="004B41C3"/>
    <w:rsid w:val="004B4266"/>
    <w:rsid w:val="004B4F41"/>
    <w:rsid w:val="004B502A"/>
    <w:rsid w:val="004B6127"/>
    <w:rsid w:val="004B6473"/>
    <w:rsid w:val="004B6D2E"/>
    <w:rsid w:val="004B7713"/>
    <w:rsid w:val="004B7AF5"/>
    <w:rsid w:val="004B7DF2"/>
    <w:rsid w:val="004B7E06"/>
    <w:rsid w:val="004B7E7B"/>
    <w:rsid w:val="004C0825"/>
    <w:rsid w:val="004C0DE8"/>
    <w:rsid w:val="004C0F20"/>
    <w:rsid w:val="004C1388"/>
    <w:rsid w:val="004C15C1"/>
    <w:rsid w:val="004C1F79"/>
    <w:rsid w:val="004C3361"/>
    <w:rsid w:val="004C3502"/>
    <w:rsid w:val="004C354B"/>
    <w:rsid w:val="004C3EE9"/>
    <w:rsid w:val="004C40D8"/>
    <w:rsid w:val="004C53B2"/>
    <w:rsid w:val="004C55D2"/>
    <w:rsid w:val="004C5AA6"/>
    <w:rsid w:val="004C5B1A"/>
    <w:rsid w:val="004C6052"/>
    <w:rsid w:val="004C646A"/>
    <w:rsid w:val="004C6559"/>
    <w:rsid w:val="004C6655"/>
    <w:rsid w:val="004C6784"/>
    <w:rsid w:val="004C68BD"/>
    <w:rsid w:val="004C6D6D"/>
    <w:rsid w:val="004C713E"/>
    <w:rsid w:val="004D0318"/>
    <w:rsid w:val="004D0CB2"/>
    <w:rsid w:val="004D140D"/>
    <w:rsid w:val="004D17AF"/>
    <w:rsid w:val="004D217E"/>
    <w:rsid w:val="004D2441"/>
    <w:rsid w:val="004D2A02"/>
    <w:rsid w:val="004D2A7A"/>
    <w:rsid w:val="004D2A88"/>
    <w:rsid w:val="004D3D5C"/>
    <w:rsid w:val="004D43D9"/>
    <w:rsid w:val="004D43FA"/>
    <w:rsid w:val="004D4C98"/>
    <w:rsid w:val="004D59BB"/>
    <w:rsid w:val="004D5C4D"/>
    <w:rsid w:val="004D5D4C"/>
    <w:rsid w:val="004D7169"/>
    <w:rsid w:val="004D73F1"/>
    <w:rsid w:val="004D78D1"/>
    <w:rsid w:val="004D7C6C"/>
    <w:rsid w:val="004D7E78"/>
    <w:rsid w:val="004E02E2"/>
    <w:rsid w:val="004E0A2D"/>
    <w:rsid w:val="004E0B6F"/>
    <w:rsid w:val="004E12EE"/>
    <w:rsid w:val="004E1880"/>
    <w:rsid w:val="004E1AC0"/>
    <w:rsid w:val="004E23E5"/>
    <w:rsid w:val="004E24D4"/>
    <w:rsid w:val="004E2E38"/>
    <w:rsid w:val="004E3AA4"/>
    <w:rsid w:val="004E48B6"/>
    <w:rsid w:val="004E4E50"/>
    <w:rsid w:val="004E4EAB"/>
    <w:rsid w:val="004E52FB"/>
    <w:rsid w:val="004E5563"/>
    <w:rsid w:val="004E5567"/>
    <w:rsid w:val="004E594A"/>
    <w:rsid w:val="004E5980"/>
    <w:rsid w:val="004E5FC7"/>
    <w:rsid w:val="004E6D10"/>
    <w:rsid w:val="004E7899"/>
    <w:rsid w:val="004E7CB7"/>
    <w:rsid w:val="004F083C"/>
    <w:rsid w:val="004F08BF"/>
    <w:rsid w:val="004F0A97"/>
    <w:rsid w:val="004F0D8E"/>
    <w:rsid w:val="004F11DD"/>
    <w:rsid w:val="004F1214"/>
    <w:rsid w:val="004F1406"/>
    <w:rsid w:val="004F1726"/>
    <w:rsid w:val="004F177F"/>
    <w:rsid w:val="004F18B4"/>
    <w:rsid w:val="004F1ACA"/>
    <w:rsid w:val="004F1C67"/>
    <w:rsid w:val="004F2162"/>
    <w:rsid w:val="004F23EC"/>
    <w:rsid w:val="004F2A03"/>
    <w:rsid w:val="004F32FF"/>
    <w:rsid w:val="004F3334"/>
    <w:rsid w:val="004F35F7"/>
    <w:rsid w:val="004F36E2"/>
    <w:rsid w:val="004F3FAF"/>
    <w:rsid w:val="004F408A"/>
    <w:rsid w:val="004F4CF9"/>
    <w:rsid w:val="004F4F25"/>
    <w:rsid w:val="004F526F"/>
    <w:rsid w:val="004F52C5"/>
    <w:rsid w:val="004F55A1"/>
    <w:rsid w:val="004F580A"/>
    <w:rsid w:val="004F58E4"/>
    <w:rsid w:val="004F5D05"/>
    <w:rsid w:val="004F5E6D"/>
    <w:rsid w:val="004F60F7"/>
    <w:rsid w:val="004F6665"/>
    <w:rsid w:val="004F6A0F"/>
    <w:rsid w:val="004F777A"/>
    <w:rsid w:val="004F78A0"/>
    <w:rsid w:val="0050042B"/>
    <w:rsid w:val="0050078F"/>
    <w:rsid w:val="005007A2"/>
    <w:rsid w:val="00500C79"/>
    <w:rsid w:val="00501AE9"/>
    <w:rsid w:val="00501CCA"/>
    <w:rsid w:val="00501E66"/>
    <w:rsid w:val="005021E2"/>
    <w:rsid w:val="00502773"/>
    <w:rsid w:val="00504232"/>
    <w:rsid w:val="00504EAD"/>
    <w:rsid w:val="00505051"/>
    <w:rsid w:val="005053FB"/>
    <w:rsid w:val="00505DA7"/>
    <w:rsid w:val="0050625E"/>
    <w:rsid w:val="00506A06"/>
    <w:rsid w:val="0050705C"/>
    <w:rsid w:val="005071AA"/>
    <w:rsid w:val="00507926"/>
    <w:rsid w:val="00507FD0"/>
    <w:rsid w:val="005106EE"/>
    <w:rsid w:val="00510700"/>
    <w:rsid w:val="00510FDB"/>
    <w:rsid w:val="00511218"/>
    <w:rsid w:val="00511428"/>
    <w:rsid w:val="005114C6"/>
    <w:rsid w:val="005115D9"/>
    <w:rsid w:val="00511DCA"/>
    <w:rsid w:val="00512409"/>
    <w:rsid w:val="00512791"/>
    <w:rsid w:val="00512894"/>
    <w:rsid w:val="00512DC9"/>
    <w:rsid w:val="0051301A"/>
    <w:rsid w:val="00513188"/>
    <w:rsid w:val="0051357A"/>
    <w:rsid w:val="00513910"/>
    <w:rsid w:val="00513CBC"/>
    <w:rsid w:val="00514035"/>
    <w:rsid w:val="0051460D"/>
    <w:rsid w:val="00514705"/>
    <w:rsid w:val="00514B34"/>
    <w:rsid w:val="00514C91"/>
    <w:rsid w:val="005150AE"/>
    <w:rsid w:val="00515B95"/>
    <w:rsid w:val="00515B97"/>
    <w:rsid w:val="005162A0"/>
    <w:rsid w:val="00516640"/>
    <w:rsid w:val="00516EAE"/>
    <w:rsid w:val="00516F99"/>
    <w:rsid w:val="005171D3"/>
    <w:rsid w:val="005172B4"/>
    <w:rsid w:val="0052036E"/>
    <w:rsid w:val="005205FE"/>
    <w:rsid w:val="005206D5"/>
    <w:rsid w:val="00520869"/>
    <w:rsid w:val="0052111B"/>
    <w:rsid w:val="00521372"/>
    <w:rsid w:val="0052159A"/>
    <w:rsid w:val="005215D3"/>
    <w:rsid w:val="0052178D"/>
    <w:rsid w:val="005217B0"/>
    <w:rsid w:val="00521934"/>
    <w:rsid w:val="00521E1F"/>
    <w:rsid w:val="00523837"/>
    <w:rsid w:val="00524166"/>
    <w:rsid w:val="005241B5"/>
    <w:rsid w:val="005242F6"/>
    <w:rsid w:val="00524496"/>
    <w:rsid w:val="0052512E"/>
    <w:rsid w:val="005252FB"/>
    <w:rsid w:val="005254CA"/>
    <w:rsid w:val="00525931"/>
    <w:rsid w:val="00525B0A"/>
    <w:rsid w:val="00525D35"/>
    <w:rsid w:val="00525D82"/>
    <w:rsid w:val="00526160"/>
    <w:rsid w:val="00526387"/>
    <w:rsid w:val="005269A4"/>
    <w:rsid w:val="00526B81"/>
    <w:rsid w:val="0052740D"/>
    <w:rsid w:val="00527479"/>
    <w:rsid w:val="00527830"/>
    <w:rsid w:val="0052783A"/>
    <w:rsid w:val="00527924"/>
    <w:rsid w:val="00530084"/>
    <w:rsid w:val="0053034A"/>
    <w:rsid w:val="0053036C"/>
    <w:rsid w:val="005303FB"/>
    <w:rsid w:val="005308FB"/>
    <w:rsid w:val="00530B7C"/>
    <w:rsid w:val="00530D3B"/>
    <w:rsid w:val="005318EE"/>
    <w:rsid w:val="00531EB7"/>
    <w:rsid w:val="00532C5D"/>
    <w:rsid w:val="0053344F"/>
    <w:rsid w:val="0053357B"/>
    <w:rsid w:val="00533ABB"/>
    <w:rsid w:val="00533EC3"/>
    <w:rsid w:val="00534177"/>
    <w:rsid w:val="00534234"/>
    <w:rsid w:val="00534B75"/>
    <w:rsid w:val="00534B89"/>
    <w:rsid w:val="00534E29"/>
    <w:rsid w:val="0053641E"/>
    <w:rsid w:val="005369B2"/>
    <w:rsid w:val="0053722A"/>
    <w:rsid w:val="00537A48"/>
    <w:rsid w:val="00540085"/>
    <w:rsid w:val="00540114"/>
    <w:rsid w:val="00540B5D"/>
    <w:rsid w:val="00540FC8"/>
    <w:rsid w:val="005410C0"/>
    <w:rsid w:val="00541660"/>
    <w:rsid w:val="00541709"/>
    <w:rsid w:val="00541BFC"/>
    <w:rsid w:val="00542402"/>
    <w:rsid w:val="005426B7"/>
    <w:rsid w:val="005428C9"/>
    <w:rsid w:val="00543C59"/>
    <w:rsid w:val="005446E7"/>
    <w:rsid w:val="005447B6"/>
    <w:rsid w:val="00544DD5"/>
    <w:rsid w:val="005455F0"/>
    <w:rsid w:val="00545A56"/>
    <w:rsid w:val="00545D62"/>
    <w:rsid w:val="00545DD6"/>
    <w:rsid w:val="00545E6B"/>
    <w:rsid w:val="005461E0"/>
    <w:rsid w:val="005475A0"/>
    <w:rsid w:val="00547B1C"/>
    <w:rsid w:val="00550114"/>
    <w:rsid w:val="00551118"/>
    <w:rsid w:val="00551120"/>
    <w:rsid w:val="00551335"/>
    <w:rsid w:val="00551529"/>
    <w:rsid w:val="0055230E"/>
    <w:rsid w:val="005528A8"/>
    <w:rsid w:val="00552EAD"/>
    <w:rsid w:val="005532D3"/>
    <w:rsid w:val="00553E21"/>
    <w:rsid w:val="005546C3"/>
    <w:rsid w:val="0055479B"/>
    <w:rsid w:val="00554A33"/>
    <w:rsid w:val="005550DA"/>
    <w:rsid w:val="00555382"/>
    <w:rsid w:val="00555D70"/>
    <w:rsid w:val="00555FFD"/>
    <w:rsid w:val="00556040"/>
    <w:rsid w:val="0055622B"/>
    <w:rsid w:val="005568E4"/>
    <w:rsid w:val="0055740C"/>
    <w:rsid w:val="00557539"/>
    <w:rsid w:val="00557CCD"/>
    <w:rsid w:val="00557FA8"/>
    <w:rsid w:val="00560004"/>
    <w:rsid w:val="0056045B"/>
    <w:rsid w:val="00560632"/>
    <w:rsid w:val="005609D6"/>
    <w:rsid w:val="00560A7F"/>
    <w:rsid w:val="00561A49"/>
    <w:rsid w:val="00561B1F"/>
    <w:rsid w:val="00561B29"/>
    <w:rsid w:val="00562502"/>
    <w:rsid w:val="00562674"/>
    <w:rsid w:val="00562FC3"/>
    <w:rsid w:val="00563238"/>
    <w:rsid w:val="00563463"/>
    <w:rsid w:val="005634BC"/>
    <w:rsid w:val="0056397E"/>
    <w:rsid w:val="00563B0E"/>
    <w:rsid w:val="00563DB7"/>
    <w:rsid w:val="00563E21"/>
    <w:rsid w:val="00563F30"/>
    <w:rsid w:val="005645AA"/>
    <w:rsid w:val="0056492A"/>
    <w:rsid w:val="00564BFF"/>
    <w:rsid w:val="005652C2"/>
    <w:rsid w:val="0056594D"/>
    <w:rsid w:val="005660A1"/>
    <w:rsid w:val="00566294"/>
    <w:rsid w:val="0056632C"/>
    <w:rsid w:val="00566701"/>
    <w:rsid w:val="00566A91"/>
    <w:rsid w:val="00566AD9"/>
    <w:rsid w:val="00567479"/>
    <w:rsid w:val="0056777C"/>
    <w:rsid w:val="00567E68"/>
    <w:rsid w:val="0057055B"/>
    <w:rsid w:val="005709A3"/>
    <w:rsid w:val="00570BC7"/>
    <w:rsid w:val="005712DD"/>
    <w:rsid w:val="005716AF"/>
    <w:rsid w:val="005718D3"/>
    <w:rsid w:val="00571A36"/>
    <w:rsid w:val="00571ABB"/>
    <w:rsid w:val="005724EA"/>
    <w:rsid w:val="00572500"/>
    <w:rsid w:val="00572606"/>
    <w:rsid w:val="005731BB"/>
    <w:rsid w:val="005732B1"/>
    <w:rsid w:val="0057383A"/>
    <w:rsid w:val="005739D9"/>
    <w:rsid w:val="0057405D"/>
    <w:rsid w:val="005745AB"/>
    <w:rsid w:val="005745F8"/>
    <w:rsid w:val="00574BAF"/>
    <w:rsid w:val="005751F6"/>
    <w:rsid w:val="00575C46"/>
    <w:rsid w:val="005761A3"/>
    <w:rsid w:val="005762B2"/>
    <w:rsid w:val="005767E8"/>
    <w:rsid w:val="00576896"/>
    <w:rsid w:val="00576EE5"/>
    <w:rsid w:val="00576F5F"/>
    <w:rsid w:val="00577217"/>
    <w:rsid w:val="005777B2"/>
    <w:rsid w:val="00577D4C"/>
    <w:rsid w:val="00580000"/>
    <w:rsid w:val="00580D8C"/>
    <w:rsid w:val="00581B06"/>
    <w:rsid w:val="00581CC7"/>
    <w:rsid w:val="0058293A"/>
    <w:rsid w:val="00582E83"/>
    <w:rsid w:val="00582E8B"/>
    <w:rsid w:val="005833D8"/>
    <w:rsid w:val="005838C2"/>
    <w:rsid w:val="0058393D"/>
    <w:rsid w:val="00583C84"/>
    <w:rsid w:val="00584116"/>
    <w:rsid w:val="00585000"/>
    <w:rsid w:val="005851D6"/>
    <w:rsid w:val="00585A12"/>
    <w:rsid w:val="00585D2C"/>
    <w:rsid w:val="00585D5A"/>
    <w:rsid w:val="0058603F"/>
    <w:rsid w:val="00586187"/>
    <w:rsid w:val="005866AD"/>
    <w:rsid w:val="005868D0"/>
    <w:rsid w:val="00586D07"/>
    <w:rsid w:val="00587BCA"/>
    <w:rsid w:val="00590121"/>
    <w:rsid w:val="00590652"/>
    <w:rsid w:val="005906FD"/>
    <w:rsid w:val="00590AB0"/>
    <w:rsid w:val="00590FE3"/>
    <w:rsid w:val="00591CA1"/>
    <w:rsid w:val="00591D1C"/>
    <w:rsid w:val="00591D47"/>
    <w:rsid w:val="00592E56"/>
    <w:rsid w:val="0059313E"/>
    <w:rsid w:val="005933D9"/>
    <w:rsid w:val="00593C4C"/>
    <w:rsid w:val="00593D21"/>
    <w:rsid w:val="00593F5A"/>
    <w:rsid w:val="00593FD1"/>
    <w:rsid w:val="00594265"/>
    <w:rsid w:val="005942E5"/>
    <w:rsid w:val="0059538D"/>
    <w:rsid w:val="005954A5"/>
    <w:rsid w:val="0059563D"/>
    <w:rsid w:val="00595879"/>
    <w:rsid w:val="00595C54"/>
    <w:rsid w:val="0059606E"/>
    <w:rsid w:val="00596338"/>
    <w:rsid w:val="0059663A"/>
    <w:rsid w:val="005966C0"/>
    <w:rsid w:val="005967CD"/>
    <w:rsid w:val="00596BCF"/>
    <w:rsid w:val="00596EB8"/>
    <w:rsid w:val="00597758"/>
    <w:rsid w:val="00597BFE"/>
    <w:rsid w:val="005A0113"/>
    <w:rsid w:val="005A022B"/>
    <w:rsid w:val="005A0238"/>
    <w:rsid w:val="005A120C"/>
    <w:rsid w:val="005A1754"/>
    <w:rsid w:val="005A1E7C"/>
    <w:rsid w:val="005A1F9B"/>
    <w:rsid w:val="005A20C4"/>
    <w:rsid w:val="005A2459"/>
    <w:rsid w:val="005A2851"/>
    <w:rsid w:val="005A2ADB"/>
    <w:rsid w:val="005A2DDD"/>
    <w:rsid w:val="005A33B8"/>
    <w:rsid w:val="005A346D"/>
    <w:rsid w:val="005A34EF"/>
    <w:rsid w:val="005A3C97"/>
    <w:rsid w:val="005A3CB5"/>
    <w:rsid w:val="005A44D7"/>
    <w:rsid w:val="005A4BCE"/>
    <w:rsid w:val="005A54FE"/>
    <w:rsid w:val="005A58BF"/>
    <w:rsid w:val="005A5914"/>
    <w:rsid w:val="005A5C3D"/>
    <w:rsid w:val="005A62FC"/>
    <w:rsid w:val="005A6BBB"/>
    <w:rsid w:val="005A6CCC"/>
    <w:rsid w:val="005A7352"/>
    <w:rsid w:val="005A7461"/>
    <w:rsid w:val="005A79AC"/>
    <w:rsid w:val="005A7E8A"/>
    <w:rsid w:val="005A7EA7"/>
    <w:rsid w:val="005A7FEB"/>
    <w:rsid w:val="005B089E"/>
    <w:rsid w:val="005B0C3D"/>
    <w:rsid w:val="005B101B"/>
    <w:rsid w:val="005B1221"/>
    <w:rsid w:val="005B138E"/>
    <w:rsid w:val="005B174F"/>
    <w:rsid w:val="005B1AE2"/>
    <w:rsid w:val="005B2016"/>
    <w:rsid w:val="005B234F"/>
    <w:rsid w:val="005B266E"/>
    <w:rsid w:val="005B26B5"/>
    <w:rsid w:val="005B28C9"/>
    <w:rsid w:val="005B29E6"/>
    <w:rsid w:val="005B2ADB"/>
    <w:rsid w:val="005B2D54"/>
    <w:rsid w:val="005B30CA"/>
    <w:rsid w:val="005B34A1"/>
    <w:rsid w:val="005B34C7"/>
    <w:rsid w:val="005B40CE"/>
    <w:rsid w:val="005B40FB"/>
    <w:rsid w:val="005B424E"/>
    <w:rsid w:val="005B448F"/>
    <w:rsid w:val="005B44C7"/>
    <w:rsid w:val="005B45BA"/>
    <w:rsid w:val="005B47EA"/>
    <w:rsid w:val="005B4874"/>
    <w:rsid w:val="005B52C6"/>
    <w:rsid w:val="005B52E8"/>
    <w:rsid w:val="005B53A4"/>
    <w:rsid w:val="005B570A"/>
    <w:rsid w:val="005B5774"/>
    <w:rsid w:val="005B5B9A"/>
    <w:rsid w:val="005B5F21"/>
    <w:rsid w:val="005B61BD"/>
    <w:rsid w:val="005B69E4"/>
    <w:rsid w:val="005B6E0E"/>
    <w:rsid w:val="005B7D00"/>
    <w:rsid w:val="005B7D03"/>
    <w:rsid w:val="005B7F3B"/>
    <w:rsid w:val="005C0708"/>
    <w:rsid w:val="005C0B4B"/>
    <w:rsid w:val="005C0E48"/>
    <w:rsid w:val="005C1C99"/>
    <w:rsid w:val="005C2387"/>
    <w:rsid w:val="005C28BA"/>
    <w:rsid w:val="005C3268"/>
    <w:rsid w:val="005C42B6"/>
    <w:rsid w:val="005C44CD"/>
    <w:rsid w:val="005C4AD3"/>
    <w:rsid w:val="005C4E84"/>
    <w:rsid w:val="005C547B"/>
    <w:rsid w:val="005C54C8"/>
    <w:rsid w:val="005C56B0"/>
    <w:rsid w:val="005C58E0"/>
    <w:rsid w:val="005C5C92"/>
    <w:rsid w:val="005C5F03"/>
    <w:rsid w:val="005C64AA"/>
    <w:rsid w:val="005C68C5"/>
    <w:rsid w:val="005C6C1F"/>
    <w:rsid w:val="005C70DD"/>
    <w:rsid w:val="005C7207"/>
    <w:rsid w:val="005C7F4A"/>
    <w:rsid w:val="005D0EF9"/>
    <w:rsid w:val="005D0F36"/>
    <w:rsid w:val="005D0F69"/>
    <w:rsid w:val="005D1235"/>
    <w:rsid w:val="005D15E8"/>
    <w:rsid w:val="005D17BC"/>
    <w:rsid w:val="005D1D97"/>
    <w:rsid w:val="005D2261"/>
    <w:rsid w:val="005D277C"/>
    <w:rsid w:val="005D2D48"/>
    <w:rsid w:val="005D320A"/>
    <w:rsid w:val="005D32F1"/>
    <w:rsid w:val="005D34FF"/>
    <w:rsid w:val="005D3529"/>
    <w:rsid w:val="005D3F11"/>
    <w:rsid w:val="005D3F2D"/>
    <w:rsid w:val="005D42FB"/>
    <w:rsid w:val="005D4474"/>
    <w:rsid w:val="005D453E"/>
    <w:rsid w:val="005D469C"/>
    <w:rsid w:val="005D4C03"/>
    <w:rsid w:val="005D4CF5"/>
    <w:rsid w:val="005D4E50"/>
    <w:rsid w:val="005D5F0B"/>
    <w:rsid w:val="005D5FAE"/>
    <w:rsid w:val="005D621D"/>
    <w:rsid w:val="005D6686"/>
    <w:rsid w:val="005D78CE"/>
    <w:rsid w:val="005D7CDB"/>
    <w:rsid w:val="005E00A5"/>
    <w:rsid w:val="005E05E1"/>
    <w:rsid w:val="005E06B5"/>
    <w:rsid w:val="005E0909"/>
    <w:rsid w:val="005E0996"/>
    <w:rsid w:val="005E1262"/>
    <w:rsid w:val="005E2E2E"/>
    <w:rsid w:val="005E332B"/>
    <w:rsid w:val="005E43CC"/>
    <w:rsid w:val="005E4C3A"/>
    <w:rsid w:val="005E536D"/>
    <w:rsid w:val="005E54D5"/>
    <w:rsid w:val="005E5A6E"/>
    <w:rsid w:val="005E5C14"/>
    <w:rsid w:val="005E5FBF"/>
    <w:rsid w:val="005E6142"/>
    <w:rsid w:val="005E6FFA"/>
    <w:rsid w:val="005E7091"/>
    <w:rsid w:val="005E7161"/>
    <w:rsid w:val="005E7585"/>
    <w:rsid w:val="005F04AF"/>
    <w:rsid w:val="005F0BD9"/>
    <w:rsid w:val="005F1B9B"/>
    <w:rsid w:val="005F1C41"/>
    <w:rsid w:val="005F1DB2"/>
    <w:rsid w:val="005F2029"/>
    <w:rsid w:val="005F3A2C"/>
    <w:rsid w:val="005F3CC2"/>
    <w:rsid w:val="005F409D"/>
    <w:rsid w:val="005F426B"/>
    <w:rsid w:val="005F4477"/>
    <w:rsid w:val="005F480C"/>
    <w:rsid w:val="005F4C9F"/>
    <w:rsid w:val="005F4DC9"/>
    <w:rsid w:val="005F4EC3"/>
    <w:rsid w:val="005F5659"/>
    <w:rsid w:val="005F56B2"/>
    <w:rsid w:val="005F6326"/>
    <w:rsid w:val="005F660F"/>
    <w:rsid w:val="005F6EE8"/>
    <w:rsid w:val="005F79FA"/>
    <w:rsid w:val="0060011B"/>
    <w:rsid w:val="0060012F"/>
    <w:rsid w:val="00600505"/>
    <w:rsid w:val="006005CB"/>
    <w:rsid w:val="006007B9"/>
    <w:rsid w:val="00601229"/>
    <w:rsid w:val="006012AF"/>
    <w:rsid w:val="00601309"/>
    <w:rsid w:val="00601B9B"/>
    <w:rsid w:val="00601C0A"/>
    <w:rsid w:val="00601D43"/>
    <w:rsid w:val="00602417"/>
    <w:rsid w:val="006026BD"/>
    <w:rsid w:val="006029CF"/>
    <w:rsid w:val="00602EC1"/>
    <w:rsid w:val="006030E5"/>
    <w:rsid w:val="0060326E"/>
    <w:rsid w:val="006037D2"/>
    <w:rsid w:val="00603A2E"/>
    <w:rsid w:val="00603E27"/>
    <w:rsid w:val="006040C9"/>
    <w:rsid w:val="00604906"/>
    <w:rsid w:val="00604BD6"/>
    <w:rsid w:val="00604CAC"/>
    <w:rsid w:val="00604E1B"/>
    <w:rsid w:val="0060537F"/>
    <w:rsid w:val="006053EB"/>
    <w:rsid w:val="00605BB7"/>
    <w:rsid w:val="00606035"/>
    <w:rsid w:val="0060695A"/>
    <w:rsid w:val="00607318"/>
    <w:rsid w:val="00607411"/>
    <w:rsid w:val="0060754A"/>
    <w:rsid w:val="00607886"/>
    <w:rsid w:val="00610037"/>
    <w:rsid w:val="006101B6"/>
    <w:rsid w:val="006103A3"/>
    <w:rsid w:val="006105FD"/>
    <w:rsid w:val="00610B0A"/>
    <w:rsid w:val="00611727"/>
    <w:rsid w:val="0061198C"/>
    <w:rsid w:val="00611996"/>
    <w:rsid w:val="00611CEA"/>
    <w:rsid w:val="00612301"/>
    <w:rsid w:val="006123AF"/>
    <w:rsid w:val="00612451"/>
    <w:rsid w:val="00612659"/>
    <w:rsid w:val="006126B1"/>
    <w:rsid w:val="0061275F"/>
    <w:rsid w:val="00612934"/>
    <w:rsid w:val="00612A22"/>
    <w:rsid w:val="00613163"/>
    <w:rsid w:val="006133D8"/>
    <w:rsid w:val="00613BB1"/>
    <w:rsid w:val="00614067"/>
    <w:rsid w:val="00614F0C"/>
    <w:rsid w:val="00615023"/>
    <w:rsid w:val="006151C9"/>
    <w:rsid w:val="00615880"/>
    <w:rsid w:val="006164A1"/>
    <w:rsid w:val="006164FC"/>
    <w:rsid w:val="006169B1"/>
    <w:rsid w:val="00616D51"/>
    <w:rsid w:val="0061763C"/>
    <w:rsid w:val="00620D56"/>
    <w:rsid w:val="00620E2F"/>
    <w:rsid w:val="0062154C"/>
    <w:rsid w:val="00621AD6"/>
    <w:rsid w:val="00622468"/>
    <w:rsid w:val="006227B5"/>
    <w:rsid w:val="006229B4"/>
    <w:rsid w:val="006239F9"/>
    <w:rsid w:val="00623BE4"/>
    <w:rsid w:val="00623E00"/>
    <w:rsid w:val="006241FA"/>
    <w:rsid w:val="00624395"/>
    <w:rsid w:val="006246F4"/>
    <w:rsid w:val="00625096"/>
    <w:rsid w:val="006254DE"/>
    <w:rsid w:val="00627113"/>
    <w:rsid w:val="00627684"/>
    <w:rsid w:val="00627B67"/>
    <w:rsid w:val="00630015"/>
    <w:rsid w:val="0063015B"/>
    <w:rsid w:val="006305E4"/>
    <w:rsid w:val="00630D07"/>
    <w:rsid w:val="00631A12"/>
    <w:rsid w:val="00631C4A"/>
    <w:rsid w:val="00632401"/>
    <w:rsid w:val="00632A03"/>
    <w:rsid w:val="00632EE6"/>
    <w:rsid w:val="00633032"/>
    <w:rsid w:val="00633364"/>
    <w:rsid w:val="006342AE"/>
    <w:rsid w:val="006343DE"/>
    <w:rsid w:val="006356E9"/>
    <w:rsid w:val="00635720"/>
    <w:rsid w:val="006358D9"/>
    <w:rsid w:val="00635B04"/>
    <w:rsid w:val="00635D0F"/>
    <w:rsid w:val="00636007"/>
    <w:rsid w:val="0063665C"/>
    <w:rsid w:val="00636AFB"/>
    <w:rsid w:val="00637148"/>
    <w:rsid w:val="006373D3"/>
    <w:rsid w:val="00637DD8"/>
    <w:rsid w:val="006400FA"/>
    <w:rsid w:val="006403E8"/>
    <w:rsid w:val="006407B3"/>
    <w:rsid w:val="00640B91"/>
    <w:rsid w:val="00640C30"/>
    <w:rsid w:val="00640DA4"/>
    <w:rsid w:val="006410DD"/>
    <w:rsid w:val="00641288"/>
    <w:rsid w:val="0064155D"/>
    <w:rsid w:val="00641928"/>
    <w:rsid w:val="00641C9C"/>
    <w:rsid w:val="00642162"/>
    <w:rsid w:val="00642581"/>
    <w:rsid w:val="006426E3"/>
    <w:rsid w:val="006428FE"/>
    <w:rsid w:val="00642E45"/>
    <w:rsid w:val="00643500"/>
    <w:rsid w:val="00643774"/>
    <w:rsid w:val="00643D66"/>
    <w:rsid w:val="00644365"/>
    <w:rsid w:val="006443FD"/>
    <w:rsid w:val="006449C8"/>
    <w:rsid w:val="00644EDD"/>
    <w:rsid w:val="00645246"/>
    <w:rsid w:val="00645639"/>
    <w:rsid w:val="006460C8"/>
    <w:rsid w:val="0064624A"/>
    <w:rsid w:val="006467F9"/>
    <w:rsid w:val="00646AD1"/>
    <w:rsid w:val="006473AF"/>
    <w:rsid w:val="00647727"/>
    <w:rsid w:val="00647B54"/>
    <w:rsid w:val="006501E6"/>
    <w:rsid w:val="00650444"/>
    <w:rsid w:val="0065053E"/>
    <w:rsid w:val="00650679"/>
    <w:rsid w:val="00650E72"/>
    <w:rsid w:val="006511AE"/>
    <w:rsid w:val="00652525"/>
    <w:rsid w:val="006529DC"/>
    <w:rsid w:val="006536F9"/>
    <w:rsid w:val="00653D80"/>
    <w:rsid w:val="0065419D"/>
    <w:rsid w:val="0065490D"/>
    <w:rsid w:val="006557C6"/>
    <w:rsid w:val="00655B41"/>
    <w:rsid w:val="00655B78"/>
    <w:rsid w:val="00655D42"/>
    <w:rsid w:val="00656F4A"/>
    <w:rsid w:val="00657757"/>
    <w:rsid w:val="00657E6D"/>
    <w:rsid w:val="006604DA"/>
    <w:rsid w:val="006608FE"/>
    <w:rsid w:val="00660AAD"/>
    <w:rsid w:val="00660B6E"/>
    <w:rsid w:val="00660BEE"/>
    <w:rsid w:val="00660D8A"/>
    <w:rsid w:val="006611D5"/>
    <w:rsid w:val="006617B7"/>
    <w:rsid w:val="00661820"/>
    <w:rsid w:val="00661A6D"/>
    <w:rsid w:val="0066234C"/>
    <w:rsid w:val="00662BC7"/>
    <w:rsid w:val="00662DCA"/>
    <w:rsid w:val="00662DCC"/>
    <w:rsid w:val="00663EF0"/>
    <w:rsid w:val="006644DC"/>
    <w:rsid w:val="00664B14"/>
    <w:rsid w:val="00664B59"/>
    <w:rsid w:val="006654E1"/>
    <w:rsid w:val="006658C9"/>
    <w:rsid w:val="00665926"/>
    <w:rsid w:val="00665AE6"/>
    <w:rsid w:val="00666102"/>
    <w:rsid w:val="00666293"/>
    <w:rsid w:val="00666AF4"/>
    <w:rsid w:val="00666CCB"/>
    <w:rsid w:val="00667487"/>
    <w:rsid w:val="006676CF"/>
    <w:rsid w:val="00667CFC"/>
    <w:rsid w:val="00670219"/>
    <w:rsid w:val="00670B9C"/>
    <w:rsid w:val="00670C2B"/>
    <w:rsid w:val="0067162E"/>
    <w:rsid w:val="0067172D"/>
    <w:rsid w:val="006722D8"/>
    <w:rsid w:val="00672700"/>
    <w:rsid w:val="0067291A"/>
    <w:rsid w:val="00672A55"/>
    <w:rsid w:val="00674DC8"/>
    <w:rsid w:val="00675469"/>
    <w:rsid w:val="00675C61"/>
    <w:rsid w:val="00675C81"/>
    <w:rsid w:val="00675F8F"/>
    <w:rsid w:val="00676103"/>
    <w:rsid w:val="006767C5"/>
    <w:rsid w:val="0067680A"/>
    <w:rsid w:val="00676F7A"/>
    <w:rsid w:val="006774F0"/>
    <w:rsid w:val="00677B8F"/>
    <w:rsid w:val="00677C78"/>
    <w:rsid w:val="00677FCD"/>
    <w:rsid w:val="00680B82"/>
    <w:rsid w:val="0068162F"/>
    <w:rsid w:val="00681BF5"/>
    <w:rsid w:val="00681CF4"/>
    <w:rsid w:val="00681D63"/>
    <w:rsid w:val="00682464"/>
    <w:rsid w:val="006832A0"/>
    <w:rsid w:val="006835A7"/>
    <w:rsid w:val="00683817"/>
    <w:rsid w:val="00683C4F"/>
    <w:rsid w:val="0068456B"/>
    <w:rsid w:val="00685376"/>
    <w:rsid w:val="00685BB5"/>
    <w:rsid w:val="00685F07"/>
    <w:rsid w:val="00685FEC"/>
    <w:rsid w:val="00686335"/>
    <w:rsid w:val="00686D65"/>
    <w:rsid w:val="00686D75"/>
    <w:rsid w:val="00686E5E"/>
    <w:rsid w:val="006870AE"/>
    <w:rsid w:val="00687F19"/>
    <w:rsid w:val="00687F38"/>
    <w:rsid w:val="00687F6E"/>
    <w:rsid w:val="00690386"/>
    <w:rsid w:val="00690AF4"/>
    <w:rsid w:val="00690C8C"/>
    <w:rsid w:val="00690D78"/>
    <w:rsid w:val="0069108F"/>
    <w:rsid w:val="0069123F"/>
    <w:rsid w:val="006913B4"/>
    <w:rsid w:val="00691584"/>
    <w:rsid w:val="006919F3"/>
    <w:rsid w:val="0069234D"/>
    <w:rsid w:val="006925CE"/>
    <w:rsid w:val="00692770"/>
    <w:rsid w:val="006929CD"/>
    <w:rsid w:val="00692D9F"/>
    <w:rsid w:val="00693086"/>
    <w:rsid w:val="0069317D"/>
    <w:rsid w:val="00693556"/>
    <w:rsid w:val="006938D1"/>
    <w:rsid w:val="0069416B"/>
    <w:rsid w:val="00694C7C"/>
    <w:rsid w:val="00695C3F"/>
    <w:rsid w:val="00695C7F"/>
    <w:rsid w:val="00695DDF"/>
    <w:rsid w:val="00696CD5"/>
    <w:rsid w:val="00696D58"/>
    <w:rsid w:val="00697299"/>
    <w:rsid w:val="00697B00"/>
    <w:rsid w:val="006A0028"/>
    <w:rsid w:val="006A02BC"/>
    <w:rsid w:val="006A0BC6"/>
    <w:rsid w:val="006A0E22"/>
    <w:rsid w:val="006A0E86"/>
    <w:rsid w:val="006A1547"/>
    <w:rsid w:val="006A1D23"/>
    <w:rsid w:val="006A20DF"/>
    <w:rsid w:val="006A27D0"/>
    <w:rsid w:val="006A288D"/>
    <w:rsid w:val="006A331F"/>
    <w:rsid w:val="006A3680"/>
    <w:rsid w:val="006A3B63"/>
    <w:rsid w:val="006A3D25"/>
    <w:rsid w:val="006A3EEA"/>
    <w:rsid w:val="006A419D"/>
    <w:rsid w:val="006A42BA"/>
    <w:rsid w:val="006A45BF"/>
    <w:rsid w:val="006A524F"/>
    <w:rsid w:val="006A5900"/>
    <w:rsid w:val="006A6794"/>
    <w:rsid w:val="006A6878"/>
    <w:rsid w:val="006A6CC3"/>
    <w:rsid w:val="006A77EA"/>
    <w:rsid w:val="006B00F2"/>
    <w:rsid w:val="006B01C2"/>
    <w:rsid w:val="006B0400"/>
    <w:rsid w:val="006B0D62"/>
    <w:rsid w:val="006B0FDB"/>
    <w:rsid w:val="006B1635"/>
    <w:rsid w:val="006B16FC"/>
    <w:rsid w:val="006B172A"/>
    <w:rsid w:val="006B1865"/>
    <w:rsid w:val="006B209E"/>
    <w:rsid w:val="006B2753"/>
    <w:rsid w:val="006B2CC7"/>
    <w:rsid w:val="006B2CF7"/>
    <w:rsid w:val="006B3870"/>
    <w:rsid w:val="006B3F70"/>
    <w:rsid w:val="006B452A"/>
    <w:rsid w:val="006B45AF"/>
    <w:rsid w:val="006B4848"/>
    <w:rsid w:val="006B4F1E"/>
    <w:rsid w:val="006B52B4"/>
    <w:rsid w:val="006B549C"/>
    <w:rsid w:val="006B57D9"/>
    <w:rsid w:val="006B5EAB"/>
    <w:rsid w:val="006B604E"/>
    <w:rsid w:val="006B63AF"/>
    <w:rsid w:val="006B6697"/>
    <w:rsid w:val="006B6963"/>
    <w:rsid w:val="006B6DD7"/>
    <w:rsid w:val="006B712B"/>
    <w:rsid w:val="006B769C"/>
    <w:rsid w:val="006B781F"/>
    <w:rsid w:val="006B7CCC"/>
    <w:rsid w:val="006C081B"/>
    <w:rsid w:val="006C0ED4"/>
    <w:rsid w:val="006C1272"/>
    <w:rsid w:val="006C1B95"/>
    <w:rsid w:val="006C1BB3"/>
    <w:rsid w:val="006C1EF3"/>
    <w:rsid w:val="006C2618"/>
    <w:rsid w:val="006C269A"/>
    <w:rsid w:val="006C2C01"/>
    <w:rsid w:val="006C2D71"/>
    <w:rsid w:val="006C2E11"/>
    <w:rsid w:val="006C37EE"/>
    <w:rsid w:val="006C398B"/>
    <w:rsid w:val="006C3D69"/>
    <w:rsid w:val="006C3D76"/>
    <w:rsid w:val="006C42C6"/>
    <w:rsid w:val="006C4B55"/>
    <w:rsid w:val="006C4CB2"/>
    <w:rsid w:val="006C516A"/>
    <w:rsid w:val="006C53D1"/>
    <w:rsid w:val="006C5AF9"/>
    <w:rsid w:val="006C60EF"/>
    <w:rsid w:val="006C65F2"/>
    <w:rsid w:val="006C675C"/>
    <w:rsid w:val="006C6D37"/>
    <w:rsid w:val="006C7019"/>
    <w:rsid w:val="006C7687"/>
    <w:rsid w:val="006C7C2D"/>
    <w:rsid w:val="006D00EC"/>
    <w:rsid w:val="006D0790"/>
    <w:rsid w:val="006D0E95"/>
    <w:rsid w:val="006D104F"/>
    <w:rsid w:val="006D1A91"/>
    <w:rsid w:val="006D2076"/>
    <w:rsid w:val="006D22BE"/>
    <w:rsid w:val="006D24BA"/>
    <w:rsid w:val="006D24F7"/>
    <w:rsid w:val="006D2613"/>
    <w:rsid w:val="006D266A"/>
    <w:rsid w:val="006D29D3"/>
    <w:rsid w:val="006D2D23"/>
    <w:rsid w:val="006D3CBA"/>
    <w:rsid w:val="006D4222"/>
    <w:rsid w:val="006D4B35"/>
    <w:rsid w:val="006D5264"/>
    <w:rsid w:val="006D5B85"/>
    <w:rsid w:val="006D6043"/>
    <w:rsid w:val="006D61CE"/>
    <w:rsid w:val="006D69A4"/>
    <w:rsid w:val="006D754A"/>
    <w:rsid w:val="006D7D0D"/>
    <w:rsid w:val="006E0147"/>
    <w:rsid w:val="006E0B18"/>
    <w:rsid w:val="006E0CAA"/>
    <w:rsid w:val="006E13B9"/>
    <w:rsid w:val="006E1DE9"/>
    <w:rsid w:val="006E1DF8"/>
    <w:rsid w:val="006E1E66"/>
    <w:rsid w:val="006E2518"/>
    <w:rsid w:val="006E27D9"/>
    <w:rsid w:val="006E286C"/>
    <w:rsid w:val="006E2F46"/>
    <w:rsid w:val="006E3012"/>
    <w:rsid w:val="006E3070"/>
    <w:rsid w:val="006E336E"/>
    <w:rsid w:val="006E3413"/>
    <w:rsid w:val="006E3639"/>
    <w:rsid w:val="006E366D"/>
    <w:rsid w:val="006E3822"/>
    <w:rsid w:val="006E3E69"/>
    <w:rsid w:val="006E4558"/>
    <w:rsid w:val="006E4990"/>
    <w:rsid w:val="006E5B23"/>
    <w:rsid w:val="006E5DBD"/>
    <w:rsid w:val="006E5DCA"/>
    <w:rsid w:val="006E6269"/>
    <w:rsid w:val="006E6322"/>
    <w:rsid w:val="006E6B71"/>
    <w:rsid w:val="006E6BFB"/>
    <w:rsid w:val="006E715B"/>
    <w:rsid w:val="006E76D9"/>
    <w:rsid w:val="006E7ADE"/>
    <w:rsid w:val="006E7EAF"/>
    <w:rsid w:val="006F058D"/>
    <w:rsid w:val="006F064E"/>
    <w:rsid w:val="006F091E"/>
    <w:rsid w:val="006F0957"/>
    <w:rsid w:val="006F0B81"/>
    <w:rsid w:val="006F0BA9"/>
    <w:rsid w:val="006F11EE"/>
    <w:rsid w:val="006F18FE"/>
    <w:rsid w:val="006F20F7"/>
    <w:rsid w:val="006F24BD"/>
    <w:rsid w:val="006F2514"/>
    <w:rsid w:val="006F28C6"/>
    <w:rsid w:val="006F2A00"/>
    <w:rsid w:val="006F3359"/>
    <w:rsid w:val="006F3693"/>
    <w:rsid w:val="006F3745"/>
    <w:rsid w:val="006F3D51"/>
    <w:rsid w:val="006F3EA3"/>
    <w:rsid w:val="006F416B"/>
    <w:rsid w:val="006F48E8"/>
    <w:rsid w:val="006F4CB9"/>
    <w:rsid w:val="006F4CC0"/>
    <w:rsid w:val="006F50E0"/>
    <w:rsid w:val="006F575B"/>
    <w:rsid w:val="006F5A8C"/>
    <w:rsid w:val="006F5E69"/>
    <w:rsid w:val="006F6311"/>
    <w:rsid w:val="006F6804"/>
    <w:rsid w:val="006F687E"/>
    <w:rsid w:val="006F69C6"/>
    <w:rsid w:val="006F6C11"/>
    <w:rsid w:val="006F6CE7"/>
    <w:rsid w:val="006F6F59"/>
    <w:rsid w:val="006F7146"/>
    <w:rsid w:val="006F7197"/>
    <w:rsid w:val="006F7304"/>
    <w:rsid w:val="007000B4"/>
    <w:rsid w:val="0070050E"/>
    <w:rsid w:val="00700C70"/>
    <w:rsid w:val="00700D98"/>
    <w:rsid w:val="00700EE0"/>
    <w:rsid w:val="00701027"/>
    <w:rsid w:val="00701862"/>
    <w:rsid w:val="00701940"/>
    <w:rsid w:val="00701F77"/>
    <w:rsid w:val="007029E5"/>
    <w:rsid w:val="00702B42"/>
    <w:rsid w:val="00702FF5"/>
    <w:rsid w:val="0070304F"/>
    <w:rsid w:val="007035E1"/>
    <w:rsid w:val="0070415E"/>
    <w:rsid w:val="00704FDD"/>
    <w:rsid w:val="00705664"/>
    <w:rsid w:val="00705856"/>
    <w:rsid w:val="007060D8"/>
    <w:rsid w:val="007062A9"/>
    <w:rsid w:val="007065C2"/>
    <w:rsid w:val="00706976"/>
    <w:rsid w:val="00707320"/>
    <w:rsid w:val="007075D9"/>
    <w:rsid w:val="007077BC"/>
    <w:rsid w:val="00707BBF"/>
    <w:rsid w:val="00707D9E"/>
    <w:rsid w:val="0071029B"/>
    <w:rsid w:val="00710A0C"/>
    <w:rsid w:val="00710A87"/>
    <w:rsid w:val="00710BBA"/>
    <w:rsid w:val="00710D5B"/>
    <w:rsid w:val="0071107D"/>
    <w:rsid w:val="00711438"/>
    <w:rsid w:val="00711794"/>
    <w:rsid w:val="007119F8"/>
    <w:rsid w:val="00711B0F"/>
    <w:rsid w:val="00712157"/>
    <w:rsid w:val="00713C1A"/>
    <w:rsid w:val="00713D3A"/>
    <w:rsid w:val="00713E3E"/>
    <w:rsid w:val="00714350"/>
    <w:rsid w:val="007153ED"/>
    <w:rsid w:val="00715823"/>
    <w:rsid w:val="00715D35"/>
    <w:rsid w:val="00716043"/>
    <w:rsid w:val="00716904"/>
    <w:rsid w:val="00716DE3"/>
    <w:rsid w:val="00717017"/>
    <w:rsid w:val="00717075"/>
    <w:rsid w:val="0071792D"/>
    <w:rsid w:val="00717F4B"/>
    <w:rsid w:val="00720367"/>
    <w:rsid w:val="00720A5E"/>
    <w:rsid w:val="00720C27"/>
    <w:rsid w:val="00721666"/>
    <w:rsid w:val="00721793"/>
    <w:rsid w:val="0072181E"/>
    <w:rsid w:val="00721C1A"/>
    <w:rsid w:val="007220DA"/>
    <w:rsid w:val="00722154"/>
    <w:rsid w:val="007223DD"/>
    <w:rsid w:val="007224DA"/>
    <w:rsid w:val="00722588"/>
    <w:rsid w:val="00722CBA"/>
    <w:rsid w:val="00722F8C"/>
    <w:rsid w:val="00723D99"/>
    <w:rsid w:val="00723F0A"/>
    <w:rsid w:val="00723F6A"/>
    <w:rsid w:val="00724756"/>
    <w:rsid w:val="00725055"/>
    <w:rsid w:val="00725512"/>
    <w:rsid w:val="00725CA8"/>
    <w:rsid w:val="007261B5"/>
    <w:rsid w:val="007262C4"/>
    <w:rsid w:val="00726501"/>
    <w:rsid w:val="00726924"/>
    <w:rsid w:val="00726DDA"/>
    <w:rsid w:val="00726FA9"/>
    <w:rsid w:val="0072736F"/>
    <w:rsid w:val="00727DD1"/>
    <w:rsid w:val="007300D7"/>
    <w:rsid w:val="00730A05"/>
    <w:rsid w:val="00730B20"/>
    <w:rsid w:val="00730CF9"/>
    <w:rsid w:val="00730D12"/>
    <w:rsid w:val="00731294"/>
    <w:rsid w:val="00731C97"/>
    <w:rsid w:val="00731FC9"/>
    <w:rsid w:val="0073257A"/>
    <w:rsid w:val="007325FE"/>
    <w:rsid w:val="00732DD1"/>
    <w:rsid w:val="00732E3C"/>
    <w:rsid w:val="00732E6E"/>
    <w:rsid w:val="007338E2"/>
    <w:rsid w:val="007343F2"/>
    <w:rsid w:val="00734D2C"/>
    <w:rsid w:val="0073531E"/>
    <w:rsid w:val="00735833"/>
    <w:rsid w:val="00735CEC"/>
    <w:rsid w:val="00735DEB"/>
    <w:rsid w:val="0073611B"/>
    <w:rsid w:val="0073628A"/>
    <w:rsid w:val="00736531"/>
    <w:rsid w:val="00736825"/>
    <w:rsid w:val="007368E8"/>
    <w:rsid w:val="00736E1E"/>
    <w:rsid w:val="0073733F"/>
    <w:rsid w:val="007373F3"/>
    <w:rsid w:val="007377AF"/>
    <w:rsid w:val="007402B2"/>
    <w:rsid w:val="007402DB"/>
    <w:rsid w:val="00740356"/>
    <w:rsid w:val="00741643"/>
    <w:rsid w:val="0074193E"/>
    <w:rsid w:val="00741DC2"/>
    <w:rsid w:val="00742258"/>
    <w:rsid w:val="00742452"/>
    <w:rsid w:val="00742845"/>
    <w:rsid w:val="00742CBA"/>
    <w:rsid w:val="00743409"/>
    <w:rsid w:val="00743478"/>
    <w:rsid w:val="0074349E"/>
    <w:rsid w:val="0074405E"/>
    <w:rsid w:val="00744557"/>
    <w:rsid w:val="007448D4"/>
    <w:rsid w:val="00744915"/>
    <w:rsid w:val="00744959"/>
    <w:rsid w:val="00744D19"/>
    <w:rsid w:val="00744E7B"/>
    <w:rsid w:val="007450A5"/>
    <w:rsid w:val="00745220"/>
    <w:rsid w:val="00745573"/>
    <w:rsid w:val="00745834"/>
    <w:rsid w:val="00745BE7"/>
    <w:rsid w:val="007461D7"/>
    <w:rsid w:val="00746805"/>
    <w:rsid w:val="00746B45"/>
    <w:rsid w:val="00747537"/>
    <w:rsid w:val="00747897"/>
    <w:rsid w:val="00747B3D"/>
    <w:rsid w:val="00747C4F"/>
    <w:rsid w:val="00747E7E"/>
    <w:rsid w:val="00750485"/>
    <w:rsid w:val="007504EB"/>
    <w:rsid w:val="0075055C"/>
    <w:rsid w:val="00750B9D"/>
    <w:rsid w:val="0075101C"/>
    <w:rsid w:val="00751113"/>
    <w:rsid w:val="00751742"/>
    <w:rsid w:val="00752837"/>
    <w:rsid w:val="00752F2D"/>
    <w:rsid w:val="00753832"/>
    <w:rsid w:val="00754166"/>
    <w:rsid w:val="0075435B"/>
    <w:rsid w:val="007543D2"/>
    <w:rsid w:val="007546AB"/>
    <w:rsid w:val="007546EE"/>
    <w:rsid w:val="00754B4B"/>
    <w:rsid w:val="00754F0F"/>
    <w:rsid w:val="00754FC1"/>
    <w:rsid w:val="0075515B"/>
    <w:rsid w:val="00755ED3"/>
    <w:rsid w:val="00756B1B"/>
    <w:rsid w:val="00756F31"/>
    <w:rsid w:val="00756FE7"/>
    <w:rsid w:val="00757661"/>
    <w:rsid w:val="00760D14"/>
    <w:rsid w:val="00760DB2"/>
    <w:rsid w:val="0076160E"/>
    <w:rsid w:val="007624A8"/>
    <w:rsid w:val="00762A38"/>
    <w:rsid w:val="00762CC9"/>
    <w:rsid w:val="00762D65"/>
    <w:rsid w:val="0076322C"/>
    <w:rsid w:val="007639BD"/>
    <w:rsid w:val="00764000"/>
    <w:rsid w:val="0076437B"/>
    <w:rsid w:val="007643C4"/>
    <w:rsid w:val="00764DC7"/>
    <w:rsid w:val="00765375"/>
    <w:rsid w:val="0076544F"/>
    <w:rsid w:val="00765492"/>
    <w:rsid w:val="0076549E"/>
    <w:rsid w:val="00765B54"/>
    <w:rsid w:val="00765B66"/>
    <w:rsid w:val="00765B8A"/>
    <w:rsid w:val="00765CE9"/>
    <w:rsid w:val="00765D4D"/>
    <w:rsid w:val="00766362"/>
    <w:rsid w:val="007663C0"/>
    <w:rsid w:val="007665BA"/>
    <w:rsid w:val="00766992"/>
    <w:rsid w:val="0076759C"/>
    <w:rsid w:val="007676FE"/>
    <w:rsid w:val="00770516"/>
    <w:rsid w:val="00770765"/>
    <w:rsid w:val="00770A66"/>
    <w:rsid w:val="007717A2"/>
    <w:rsid w:val="007717C2"/>
    <w:rsid w:val="0077314E"/>
    <w:rsid w:val="00773E32"/>
    <w:rsid w:val="007744D3"/>
    <w:rsid w:val="00774805"/>
    <w:rsid w:val="007753EA"/>
    <w:rsid w:val="00775402"/>
    <w:rsid w:val="00776047"/>
    <w:rsid w:val="0077683A"/>
    <w:rsid w:val="007768C3"/>
    <w:rsid w:val="007769FD"/>
    <w:rsid w:val="00776E67"/>
    <w:rsid w:val="007802A3"/>
    <w:rsid w:val="007803CD"/>
    <w:rsid w:val="0078047F"/>
    <w:rsid w:val="0078056D"/>
    <w:rsid w:val="007805FE"/>
    <w:rsid w:val="00780D53"/>
    <w:rsid w:val="007813FB"/>
    <w:rsid w:val="007824CA"/>
    <w:rsid w:val="00782626"/>
    <w:rsid w:val="00782B49"/>
    <w:rsid w:val="00783337"/>
    <w:rsid w:val="00784234"/>
    <w:rsid w:val="007845E8"/>
    <w:rsid w:val="0078494E"/>
    <w:rsid w:val="00785999"/>
    <w:rsid w:val="0078649E"/>
    <w:rsid w:val="00787112"/>
    <w:rsid w:val="007873C0"/>
    <w:rsid w:val="00790CDA"/>
    <w:rsid w:val="00790E7C"/>
    <w:rsid w:val="0079108A"/>
    <w:rsid w:val="00791176"/>
    <w:rsid w:val="0079168C"/>
    <w:rsid w:val="00791ACA"/>
    <w:rsid w:val="00792403"/>
    <w:rsid w:val="007924A7"/>
    <w:rsid w:val="00792561"/>
    <w:rsid w:val="00792662"/>
    <w:rsid w:val="007928EB"/>
    <w:rsid w:val="00792A7A"/>
    <w:rsid w:val="00792B8A"/>
    <w:rsid w:val="00792C84"/>
    <w:rsid w:val="00793295"/>
    <w:rsid w:val="0079347E"/>
    <w:rsid w:val="007934E8"/>
    <w:rsid w:val="0079384F"/>
    <w:rsid w:val="00793BBD"/>
    <w:rsid w:val="007940D7"/>
    <w:rsid w:val="00794133"/>
    <w:rsid w:val="0079451E"/>
    <w:rsid w:val="00794563"/>
    <w:rsid w:val="00794A8F"/>
    <w:rsid w:val="00794FE5"/>
    <w:rsid w:val="00795697"/>
    <w:rsid w:val="00795817"/>
    <w:rsid w:val="0079603B"/>
    <w:rsid w:val="0079605D"/>
    <w:rsid w:val="00796442"/>
    <w:rsid w:val="00796862"/>
    <w:rsid w:val="00796A1A"/>
    <w:rsid w:val="0079755D"/>
    <w:rsid w:val="007976CA"/>
    <w:rsid w:val="0079793A"/>
    <w:rsid w:val="00797940"/>
    <w:rsid w:val="00797A32"/>
    <w:rsid w:val="00797C86"/>
    <w:rsid w:val="007A0852"/>
    <w:rsid w:val="007A0B8F"/>
    <w:rsid w:val="007A1F5E"/>
    <w:rsid w:val="007A2915"/>
    <w:rsid w:val="007A2F20"/>
    <w:rsid w:val="007A2F79"/>
    <w:rsid w:val="007A33FB"/>
    <w:rsid w:val="007A35CC"/>
    <w:rsid w:val="007A3A7E"/>
    <w:rsid w:val="007A446F"/>
    <w:rsid w:val="007A4595"/>
    <w:rsid w:val="007A4B8E"/>
    <w:rsid w:val="007A5699"/>
    <w:rsid w:val="007A6116"/>
    <w:rsid w:val="007A65A3"/>
    <w:rsid w:val="007A66D9"/>
    <w:rsid w:val="007A775E"/>
    <w:rsid w:val="007A7EF6"/>
    <w:rsid w:val="007B00F5"/>
    <w:rsid w:val="007B02C7"/>
    <w:rsid w:val="007B0302"/>
    <w:rsid w:val="007B0341"/>
    <w:rsid w:val="007B097E"/>
    <w:rsid w:val="007B1159"/>
    <w:rsid w:val="007B1FEA"/>
    <w:rsid w:val="007B268F"/>
    <w:rsid w:val="007B2E3D"/>
    <w:rsid w:val="007B3106"/>
    <w:rsid w:val="007B34AE"/>
    <w:rsid w:val="007B3844"/>
    <w:rsid w:val="007B3D04"/>
    <w:rsid w:val="007B3D74"/>
    <w:rsid w:val="007B4145"/>
    <w:rsid w:val="007B5007"/>
    <w:rsid w:val="007B5739"/>
    <w:rsid w:val="007B5C27"/>
    <w:rsid w:val="007B75B5"/>
    <w:rsid w:val="007B772F"/>
    <w:rsid w:val="007B77C5"/>
    <w:rsid w:val="007B79AC"/>
    <w:rsid w:val="007B7DEB"/>
    <w:rsid w:val="007B7E12"/>
    <w:rsid w:val="007C005F"/>
    <w:rsid w:val="007C078C"/>
    <w:rsid w:val="007C08E3"/>
    <w:rsid w:val="007C0F0D"/>
    <w:rsid w:val="007C1376"/>
    <w:rsid w:val="007C19A5"/>
    <w:rsid w:val="007C22DB"/>
    <w:rsid w:val="007C23BC"/>
    <w:rsid w:val="007C24AC"/>
    <w:rsid w:val="007C30AF"/>
    <w:rsid w:val="007C337A"/>
    <w:rsid w:val="007C34A1"/>
    <w:rsid w:val="007C3BC6"/>
    <w:rsid w:val="007C3CE1"/>
    <w:rsid w:val="007C3FFB"/>
    <w:rsid w:val="007C44A5"/>
    <w:rsid w:val="007C4972"/>
    <w:rsid w:val="007C4B30"/>
    <w:rsid w:val="007C4D58"/>
    <w:rsid w:val="007C5153"/>
    <w:rsid w:val="007C56DF"/>
    <w:rsid w:val="007C574E"/>
    <w:rsid w:val="007C5B4C"/>
    <w:rsid w:val="007C5F24"/>
    <w:rsid w:val="007C6885"/>
    <w:rsid w:val="007C6944"/>
    <w:rsid w:val="007C6C83"/>
    <w:rsid w:val="007C6CB1"/>
    <w:rsid w:val="007C72FF"/>
    <w:rsid w:val="007C7564"/>
    <w:rsid w:val="007C7C1F"/>
    <w:rsid w:val="007C7D99"/>
    <w:rsid w:val="007D0199"/>
    <w:rsid w:val="007D030A"/>
    <w:rsid w:val="007D0802"/>
    <w:rsid w:val="007D0FF5"/>
    <w:rsid w:val="007D1264"/>
    <w:rsid w:val="007D1451"/>
    <w:rsid w:val="007D1AE6"/>
    <w:rsid w:val="007D201B"/>
    <w:rsid w:val="007D2069"/>
    <w:rsid w:val="007D22A4"/>
    <w:rsid w:val="007D2956"/>
    <w:rsid w:val="007D3374"/>
    <w:rsid w:val="007D3430"/>
    <w:rsid w:val="007D367A"/>
    <w:rsid w:val="007D38B2"/>
    <w:rsid w:val="007D4B23"/>
    <w:rsid w:val="007D4E6C"/>
    <w:rsid w:val="007D4F36"/>
    <w:rsid w:val="007D5349"/>
    <w:rsid w:val="007D5560"/>
    <w:rsid w:val="007D6205"/>
    <w:rsid w:val="007D6889"/>
    <w:rsid w:val="007D6C1B"/>
    <w:rsid w:val="007D6CFA"/>
    <w:rsid w:val="007D73A8"/>
    <w:rsid w:val="007D785A"/>
    <w:rsid w:val="007D7866"/>
    <w:rsid w:val="007D7BB6"/>
    <w:rsid w:val="007D7F91"/>
    <w:rsid w:val="007E03D0"/>
    <w:rsid w:val="007E07BE"/>
    <w:rsid w:val="007E0E48"/>
    <w:rsid w:val="007E1087"/>
    <w:rsid w:val="007E13C2"/>
    <w:rsid w:val="007E188B"/>
    <w:rsid w:val="007E2201"/>
    <w:rsid w:val="007E2E43"/>
    <w:rsid w:val="007E32C3"/>
    <w:rsid w:val="007E34E6"/>
    <w:rsid w:val="007E4B1B"/>
    <w:rsid w:val="007E4C73"/>
    <w:rsid w:val="007E4DC2"/>
    <w:rsid w:val="007E5366"/>
    <w:rsid w:val="007E5953"/>
    <w:rsid w:val="007E5AF5"/>
    <w:rsid w:val="007E5C00"/>
    <w:rsid w:val="007E5DA1"/>
    <w:rsid w:val="007E5EE0"/>
    <w:rsid w:val="007E5EF2"/>
    <w:rsid w:val="007E6195"/>
    <w:rsid w:val="007E6298"/>
    <w:rsid w:val="007E6531"/>
    <w:rsid w:val="007E6808"/>
    <w:rsid w:val="007E6B7E"/>
    <w:rsid w:val="007E71C2"/>
    <w:rsid w:val="007E71C9"/>
    <w:rsid w:val="007E7745"/>
    <w:rsid w:val="007E7F9F"/>
    <w:rsid w:val="007F00C0"/>
    <w:rsid w:val="007F0229"/>
    <w:rsid w:val="007F0458"/>
    <w:rsid w:val="007F0872"/>
    <w:rsid w:val="007F08F6"/>
    <w:rsid w:val="007F093D"/>
    <w:rsid w:val="007F0ABD"/>
    <w:rsid w:val="007F0FE6"/>
    <w:rsid w:val="007F1389"/>
    <w:rsid w:val="007F13D7"/>
    <w:rsid w:val="007F1B77"/>
    <w:rsid w:val="007F1CB6"/>
    <w:rsid w:val="007F207E"/>
    <w:rsid w:val="007F27B6"/>
    <w:rsid w:val="007F2965"/>
    <w:rsid w:val="007F2A00"/>
    <w:rsid w:val="007F2AAE"/>
    <w:rsid w:val="007F2CED"/>
    <w:rsid w:val="007F32B8"/>
    <w:rsid w:val="007F3740"/>
    <w:rsid w:val="007F3F7F"/>
    <w:rsid w:val="007F44FC"/>
    <w:rsid w:val="007F4FB4"/>
    <w:rsid w:val="007F5C91"/>
    <w:rsid w:val="007F5FFE"/>
    <w:rsid w:val="007F6222"/>
    <w:rsid w:val="007F62F7"/>
    <w:rsid w:val="007F630E"/>
    <w:rsid w:val="007F6380"/>
    <w:rsid w:val="007F63BF"/>
    <w:rsid w:val="007F6A24"/>
    <w:rsid w:val="007F6A97"/>
    <w:rsid w:val="007F6FCD"/>
    <w:rsid w:val="007F71F2"/>
    <w:rsid w:val="007F758A"/>
    <w:rsid w:val="007F7604"/>
    <w:rsid w:val="007F77BF"/>
    <w:rsid w:val="007F787C"/>
    <w:rsid w:val="007F7CD6"/>
    <w:rsid w:val="007F7E0E"/>
    <w:rsid w:val="007F7EFB"/>
    <w:rsid w:val="0080007D"/>
    <w:rsid w:val="00801610"/>
    <w:rsid w:val="008017AA"/>
    <w:rsid w:val="00801A44"/>
    <w:rsid w:val="00801A9A"/>
    <w:rsid w:val="00801F90"/>
    <w:rsid w:val="008026DE"/>
    <w:rsid w:val="00802CBD"/>
    <w:rsid w:val="008036A2"/>
    <w:rsid w:val="008038A7"/>
    <w:rsid w:val="00803D85"/>
    <w:rsid w:val="00803F2C"/>
    <w:rsid w:val="00804002"/>
    <w:rsid w:val="00804220"/>
    <w:rsid w:val="0080434A"/>
    <w:rsid w:val="00804385"/>
    <w:rsid w:val="00804B56"/>
    <w:rsid w:val="00804D19"/>
    <w:rsid w:val="0080523D"/>
    <w:rsid w:val="008052C0"/>
    <w:rsid w:val="0080530F"/>
    <w:rsid w:val="00805819"/>
    <w:rsid w:val="00805932"/>
    <w:rsid w:val="00805B3F"/>
    <w:rsid w:val="00805CE3"/>
    <w:rsid w:val="008063BB"/>
    <w:rsid w:val="008067E7"/>
    <w:rsid w:val="008073C5"/>
    <w:rsid w:val="008074D8"/>
    <w:rsid w:val="0080754B"/>
    <w:rsid w:val="008105F4"/>
    <w:rsid w:val="00810684"/>
    <w:rsid w:val="008117DB"/>
    <w:rsid w:val="008118BF"/>
    <w:rsid w:val="00811F24"/>
    <w:rsid w:val="00812AE0"/>
    <w:rsid w:val="00812EA9"/>
    <w:rsid w:val="00813020"/>
    <w:rsid w:val="008131B7"/>
    <w:rsid w:val="00813F70"/>
    <w:rsid w:val="008146C7"/>
    <w:rsid w:val="008147DA"/>
    <w:rsid w:val="00814EC7"/>
    <w:rsid w:val="00815535"/>
    <w:rsid w:val="00815D3E"/>
    <w:rsid w:val="008167A4"/>
    <w:rsid w:val="00816823"/>
    <w:rsid w:val="008168FF"/>
    <w:rsid w:val="00816B81"/>
    <w:rsid w:val="008171ED"/>
    <w:rsid w:val="008177F7"/>
    <w:rsid w:val="008179FA"/>
    <w:rsid w:val="00817BEE"/>
    <w:rsid w:val="008208DC"/>
    <w:rsid w:val="00820CF7"/>
    <w:rsid w:val="00820F2B"/>
    <w:rsid w:val="008212F0"/>
    <w:rsid w:val="00821609"/>
    <w:rsid w:val="008219FF"/>
    <w:rsid w:val="00821C23"/>
    <w:rsid w:val="00822338"/>
    <w:rsid w:val="00822572"/>
    <w:rsid w:val="008226FB"/>
    <w:rsid w:val="0082311B"/>
    <w:rsid w:val="00823278"/>
    <w:rsid w:val="0082331C"/>
    <w:rsid w:val="00823959"/>
    <w:rsid w:val="0082442B"/>
    <w:rsid w:val="008244F0"/>
    <w:rsid w:val="0082451B"/>
    <w:rsid w:val="00824DA5"/>
    <w:rsid w:val="00825022"/>
    <w:rsid w:val="00825E0F"/>
    <w:rsid w:val="00826916"/>
    <w:rsid w:val="00826B85"/>
    <w:rsid w:val="00826D76"/>
    <w:rsid w:val="00826FF5"/>
    <w:rsid w:val="0082711F"/>
    <w:rsid w:val="0082718C"/>
    <w:rsid w:val="00827438"/>
    <w:rsid w:val="008278C9"/>
    <w:rsid w:val="00827C2C"/>
    <w:rsid w:val="00827CC8"/>
    <w:rsid w:val="00827F75"/>
    <w:rsid w:val="0083032D"/>
    <w:rsid w:val="00830CF9"/>
    <w:rsid w:val="00830F41"/>
    <w:rsid w:val="0083113F"/>
    <w:rsid w:val="0083134F"/>
    <w:rsid w:val="0083158F"/>
    <w:rsid w:val="008315AA"/>
    <w:rsid w:val="00831757"/>
    <w:rsid w:val="008318A5"/>
    <w:rsid w:val="00831C12"/>
    <w:rsid w:val="00832246"/>
    <w:rsid w:val="008325F2"/>
    <w:rsid w:val="00832DD5"/>
    <w:rsid w:val="00832DF6"/>
    <w:rsid w:val="008336F2"/>
    <w:rsid w:val="008337CA"/>
    <w:rsid w:val="008338CB"/>
    <w:rsid w:val="008339A1"/>
    <w:rsid w:val="00834587"/>
    <w:rsid w:val="008345CD"/>
    <w:rsid w:val="0083465A"/>
    <w:rsid w:val="008348E6"/>
    <w:rsid w:val="00834DE3"/>
    <w:rsid w:val="00834F21"/>
    <w:rsid w:val="0083508D"/>
    <w:rsid w:val="00835BCB"/>
    <w:rsid w:val="00835E40"/>
    <w:rsid w:val="00835F8B"/>
    <w:rsid w:val="0083605F"/>
    <w:rsid w:val="0083666F"/>
    <w:rsid w:val="00836677"/>
    <w:rsid w:val="008375F6"/>
    <w:rsid w:val="00837639"/>
    <w:rsid w:val="008377C8"/>
    <w:rsid w:val="008378D9"/>
    <w:rsid w:val="00837D36"/>
    <w:rsid w:val="00837F2B"/>
    <w:rsid w:val="00840153"/>
    <w:rsid w:val="008402D9"/>
    <w:rsid w:val="008405F7"/>
    <w:rsid w:val="00840B5C"/>
    <w:rsid w:val="00840CDB"/>
    <w:rsid w:val="00840D98"/>
    <w:rsid w:val="0084116E"/>
    <w:rsid w:val="0084139E"/>
    <w:rsid w:val="00841490"/>
    <w:rsid w:val="008414D2"/>
    <w:rsid w:val="00841765"/>
    <w:rsid w:val="00841786"/>
    <w:rsid w:val="008422C5"/>
    <w:rsid w:val="0084244F"/>
    <w:rsid w:val="0084301A"/>
    <w:rsid w:val="00843180"/>
    <w:rsid w:val="00843448"/>
    <w:rsid w:val="008436A0"/>
    <w:rsid w:val="00843FBD"/>
    <w:rsid w:val="0084494C"/>
    <w:rsid w:val="00844D88"/>
    <w:rsid w:val="00844EDE"/>
    <w:rsid w:val="00845109"/>
    <w:rsid w:val="00845456"/>
    <w:rsid w:val="0084550E"/>
    <w:rsid w:val="008456D8"/>
    <w:rsid w:val="0084623B"/>
    <w:rsid w:val="0084658F"/>
    <w:rsid w:val="008469A3"/>
    <w:rsid w:val="00846DC3"/>
    <w:rsid w:val="00847024"/>
    <w:rsid w:val="008472B1"/>
    <w:rsid w:val="0084741E"/>
    <w:rsid w:val="00847972"/>
    <w:rsid w:val="0085002D"/>
    <w:rsid w:val="0085019C"/>
    <w:rsid w:val="00850268"/>
    <w:rsid w:val="00850283"/>
    <w:rsid w:val="00850651"/>
    <w:rsid w:val="00850AE2"/>
    <w:rsid w:val="00851384"/>
    <w:rsid w:val="008517C1"/>
    <w:rsid w:val="008518B4"/>
    <w:rsid w:val="00851F6D"/>
    <w:rsid w:val="008525A1"/>
    <w:rsid w:val="008529AC"/>
    <w:rsid w:val="008530B3"/>
    <w:rsid w:val="0085375B"/>
    <w:rsid w:val="008541BB"/>
    <w:rsid w:val="0085436B"/>
    <w:rsid w:val="008548DA"/>
    <w:rsid w:val="00854C2C"/>
    <w:rsid w:val="00854CF6"/>
    <w:rsid w:val="008556EB"/>
    <w:rsid w:val="00855877"/>
    <w:rsid w:val="00855952"/>
    <w:rsid w:val="00855C31"/>
    <w:rsid w:val="008562E3"/>
    <w:rsid w:val="00856627"/>
    <w:rsid w:val="0085676A"/>
    <w:rsid w:val="00856A75"/>
    <w:rsid w:val="0085706D"/>
    <w:rsid w:val="008571AF"/>
    <w:rsid w:val="00857274"/>
    <w:rsid w:val="008576CF"/>
    <w:rsid w:val="008578BA"/>
    <w:rsid w:val="0085793A"/>
    <w:rsid w:val="00857DFA"/>
    <w:rsid w:val="00857EBB"/>
    <w:rsid w:val="0086017F"/>
    <w:rsid w:val="008602FC"/>
    <w:rsid w:val="008603DA"/>
    <w:rsid w:val="008605B2"/>
    <w:rsid w:val="00860A04"/>
    <w:rsid w:val="008613A2"/>
    <w:rsid w:val="00861740"/>
    <w:rsid w:val="00861C98"/>
    <w:rsid w:val="00862346"/>
    <w:rsid w:val="00862E88"/>
    <w:rsid w:val="00862FF4"/>
    <w:rsid w:val="008637F4"/>
    <w:rsid w:val="0086381F"/>
    <w:rsid w:val="00863882"/>
    <w:rsid w:val="00863E93"/>
    <w:rsid w:val="008644BF"/>
    <w:rsid w:val="008646AF"/>
    <w:rsid w:val="00864815"/>
    <w:rsid w:val="0086483F"/>
    <w:rsid w:val="00864AFC"/>
    <w:rsid w:val="00864F1E"/>
    <w:rsid w:val="0086583C"/>
    <w:rsid w:val="00866688"/>
    <w:rsid w:val="00866BE8"/>
    <w:rsid w:val="00866DEB"/>
    <w:rsid w:val="008670B8"/>
    <w:rsid w:val="0086766F"/>
    <w:rsid w:val="008676D8"/>
    <w:rsid w:val="00867E0C"/>
    <w:rsid w:val="00870451"/>
    <w:rsid w:val="008705BF"/>
    <w:rsid w:val="0087107D"/>
    <w:rsid w:val="00871108"/>
    <w:rsid w:val="00871281"/>
    <w:rsid w:val="00871679"/>
    <w:rsid w:val="008718C7"/>
    <w:rsid w:val="00871B19"/>
    <w:rsid w:val="00871FD3"/>
    <w:rsid w:val="00872213"/>
    <w:rsid w:val="008724BD"/>
    <w:rsid w:val="00872E4F"/>
    <w:rsid w:val="00872FAB"/>
    <w:rsid w:val="008733AF"/>
    <w:rsid w:val="0087413B"/>
    <w:rsid w:val="00875390"/>
    <w:rsid w:val="008754AF"/>
    <w:rsid w:val="00875504"/>
    <w:rsid w:val="0087605B"/>
    <w:rsid w:val="0087631C"/>
    <w:rsid w:val="008764CC"/>
    <w:rsid w:val="00876FCB"/>
    <w:rsid w:val="00877045"/>
    <w:rsid w:val="0087716B"/>
    <w:rsid w:val="008779A0"/>
    <w:rsid w:val="00880A18"/>
    <w:rsid w:val="00880D7A"/>
    <w:rsid w:val="00880FBD"/>
    <w:rsid w:val="00881954"/>
    <w:rsid w:val="00881F19"/>
    <w:rsid w:val="00882373"/>
    <w:rsid w:val="00882734"/>
    <w:rsid w:val="00882A1B"/>
    <w:rsid w:val="00882A7C"/>
    <w:rsid w:val="00882D84"/>
    <w:rsid w:val="008831B6"/>
    <w:rsid w:val="00883F64"/>
    <w:rsid w:val="008845C8"/>
    <w:rsid w:val="00884814"/>
    <w:rsid w:val="00884C5D"/>
    <w:rsid w:val="00884DB3"/>
    <w:rsid w:val="008851B3"/>
    <w:rsid w:val="00885361"/>
    <w:rsid w:val="00885B2C"/>
    <w:rsid w:val="00885DA6"/>
    <w:rsid w:val="00885E1F"/>
    <w:rsid w:val="0088602B"/>
    <w:rsid w:val="008860F6"/>
    <w:rsid w:val="0088632F"/>
    <w:rsid w:val="00886379"/>
    <w:rsid w:val="0088641E"/>
    <w:rsid w:val="00886786"/>
    <w:rsid w:val="00887303"/>
    <w:rsid w:val="00887595"/>
    <w:rsid w:val="00887856"/>
    <w:rsid w:val="0089088D"/>
    <w:rsid w:val="00890FEB"/>
    <w:rsid w:val="00891007"/>
    <w:rsid w:val="0089112B"/>
    <w:rsid w:val="008912B7"/>
    <w:rsid w:val="00891A70"/>
    <w:rsid w:val="0089212E"/>
    <w:rsid w:val="00892AFB"/>
    <w:rsid w:val="008930BF"/>
    <w:rsid w:val="008943F0"/>
    <w:rsid w:val="00894668"/>
    <w:rsid w:val="00894CF7"/>
    <w:rsid w:val="008952D0"/>
    <w:rsid w:val="00895475"/>
    <w:rsid w:val="00895D7A"/>
    <w:rsid w:val="00896065"/>
    <w:rsid w:val="008962A7"/>
    <w:rsid w:val="00896830"/>
    <w:rsid w:val="00896C6F"/>
    <w:rsid w:val="00896E83"/>
    <w:rsid w:val="0089719F"/>
    <w:rsid w:val="0089723F"/>
    <w:rsid w:val="00897C84"/>
    <w:rsid w:val="00897CCA"/>
    <w:rsid w:val="00897E01"/>
    <w:rsid w:val="00897ED6"/>
    <w:rsid w:val="008A028B"/>
    <w:rsid w:val="008A0305"/>
    <w:rsid w:val="008A0555"/>
    <w:rsid w:val="008A11EB"/>
    <w:rsid w:val="008A184B"/>
    <w:rsid w:val="008A1A46"/>
    <w:rsid w:val="008A330B"/>
    <w:rsid w:val="008A36B5"/>
    <w:rsid w:val="008A37AF"/>
    <w:rsid w:val="008A39CA"/>
    <w:rsid w:val="008A4246"/>
    <w:rsid w:val="008A48EE"/>
    <w:rsid w:val="008A4A18"/>
    <w:rsid w:val="008A54AE"/>
    <w:rsid w:val="008A55F9"/>
    <w:rsid w:val="008A577C"/>
    <w:rsid w:val="008A586F"/>
    <w:rsid w:val="008A5A36"/>
    <w:rsid w:val="008A5BA2"/>
    <w:rsid w:val="008A5CBD"/>
    <w:rsid w:val="008A68A8"/>
    <w:rsid w:val="008A6A9F"/>
    <w:rsid w:val="008A7374"/>
    <w:rsid w:val="008A7852"/>
    <w:rsid w:val="008A7881"/>
    <w:rsid w:val="008B0323"/>
    <w:rsid w:val="008B032B"/>
    <w:rsid w:val="008B0760"/>
    <w:rsid w:val="008B088A"/>
    <w:rsid w:val="008B0FBA"/>
    <w:rsid w:val="008B10C5"/>
    <w:rsid w:val="008B1198"/>
    <w:rsid w:val="008B1627"/>
    <w:rsid w:val="008B16AF"/>
    <w:rsid w:val="008B1CE5"/>
    <w:rsid w:val="008B1E3F"/>
    <w:rsid w:val="008B2A41"/>
    <w:rsid w:val="008B2BA2"/>
    <w:rsid w:val="008B2E29"/>
    <w:rsid w:val="008B3910"/>
    <w:rsid w:val="008B3CD0"/>
    <w:rsid w:val="008B4131"/>
    <w:rsid w:val="008B47A8"/>
    <w:rsid w:val="008B4D7B"/>
    <w:rsid w:val="008B4EA3"/>
    <w:rsid w:val="008B519B"/>
    <w:rsid w:val="008B5757"/>
    <w:rsid w:val="008B61C1"/>
    <w:rsid w:val="008B630C"/>
    <w:rsid w:val="008B69AE"/>
    <w:rsid w:val="008B6A8F"/>
    <w:rsid w:val="008B7D9D"/>
    <w:rsid w:val="008C0040"/>
    <w:rsid w:val="008C0360"/>
    <w:rsid w:val="008C149A"/>
    <w:rsid w:val="008C1618"/>
    <w:rsid w:val="008C161B"/>
    <w:rsid w:val="008C2052"/>
    <w:rsid w:val="008C20BF"/>
    <w:rsid w:val="008C2B81"/>
    <w:rsid w:val="008C304F"/>
    <w:rsid w:val="008C3667"/>
    <w:rsid w:val="008C3961"/>
    <w:rsid w:val="008C3FBF"/>
    <w:rsid w:val="008C4070"/>
    <w:rsid w:val="008C4207"/>
    <w:rsid w:val="008C4961"/>
    <w:rsid w:val="008C4C7D"/>
    <w:rsid w:val="008C50B2"/>
    <w:rsid w:val="008C5119"/>
    <w:rsid w:val="008C5FAE"/>
    <w:rsid w:val="008C5FDC"/>
    <w:rsid w:val="008C7080"/>
    <w:rsid w:val="008C7214"/>
    <w:rsid w:val="008C72F2"/>
    <w:rsid w:val="008C733F"/>
    <w:rsid w:val="008C73E6"/>
    <w:rsid w:val="008C75DB"/>
    <w:rsid w:val="008C764C"/>
    <w:rsid w:val="008C77F8"/>
    <w:rsid w:val="008C7D4E"/>
    <w:rsid w:val="008D0110"/>
    <w:rsid w:val="008D0333"/>
    <w:rsid w:val="008D07E3"/>
    <w:rsid w:val="008D0B36"/>
    <w:rsid w:val="008D0C70"/>
    <w:rsid w:val="008D0F3F"/>
    <w:rsid w:val="008D1244"/>
    <w:rsid w:val="008D1496"/>
    <w:rsid w:val="008D1D7D"/>
    <w:rsid w:val="008D2161"/>
    <w:rsid w:val="008D26BA"/>
    <w:rsid w:val="008D278A"/>
    <w:rsid w:val="008D2C54"/>
    <w:rsid w:val="008D2D53"/>
    <w:rsid w:val="008D36D6"/>
    <w:rsid w:val="008D42C4"/>
    <w:rsid w:val="008D4447"/>
    <w:rsid w:val="008D48BA"/>
    <w:rsid w:val="008D48CF"/>
    <w:rsid w:val="008D4D42"/>
    <w:rsid w:val="008D56D2"/>
    <w:rsid w:val="008D5B43"/>
    <w:rsid w:val="008D5F10"/>
    <w:rsid w:val="008D62EC"/>
    <w:rsid w:val="008D7651"/>
    <w:rsid w:val="008D7BB0"/>
    <w:rsid w:val="008D7FB4"/>
    <w:rsid w:val="008E0974"/>
    <w:rsid w:val="008E0BF9"/>
    <w:rsid w:val="008E0C36"/>
    <w:rsid w:val="008E1765"/>
    <w:rsid w:val="008E1945"/>
    <w:rsid w:val="008E1EA7"/>
    <w:rsid w:val="008E1ED4"/>
    <w:rsid w:val="008E1EE7"/>
    <w:rsid w:val="008E22C8"/>
    <w:rsid w:val="008E2934"/>
    <w:rsid w:val="008E2A37"/>
    <w:rsid w:val="008E2B37"/>
    <w:rsid w:val="008E2F42"/>
    <w:rsid w:val="008E2F65"/>
    <w:rsid w:val="008E3056"/>
    <w:rsid w:val="008E352A"/>
    <w:rsid w:val="008E37C6"/>
    <w:rsid w:val="008E3878"/>
    <w:rsid w:val="008E392F"/>
    <w:rsid w:val="008E3B83"/>
    <w:rsid w:val="008E3D5C"/>
    <w:rsid w:val="008E3F6B"/>
    <w:rsid w:val="008E44A5"/>
    <w:rsid w:val="008E48B7"/>
    <w:rsid w:val="008E4CF0"/>
    <w:rsid w:val="008E4DA6"/>
    <w:rsid w:val="008E5224"/>
    <w:rsid w:val="008E5597"/>
    <w:rsid w:val="008E56A8"/>
    <w:rsid w:val="008E5DA3"/>
    <w:rsid w:val="008E63FE"/>
    <w:rsid w:val="008E68E8"/>
    <w:rsid w:val="008E6EF7"/>
    <w:rsid w:val="008E7141"/>
    <w:rsid w:val="008E763A"/>
    <w:rsid w:val="008E7D1B"/>
    <w:rsid w:val="008E7D1F"/>
    <w:rsid w:val="008F0DCE"/>
    <w:rsid w:val="008F12EB"/>
    <w:rsid w:val="008F147A"/>
    <w:rsid w:val="008F2260"/>
    <w:rsid w:val="008F23F8"/>
    <w:rsid w:val="008F25FB"/>
    <w:rsid w:val="008F2841"/>
    <w:rsid w:val="008F2D3B"/>
    <w:rsid w:val="008F328D"/>
    <w:rsid w:val="008F347A"/>
    <w:rsid w:val="008F375F"/>
    <w:rsid w:val="008F37C2"/>
    <w:rsid w:val="008F3864"/>
    <w:rsid w:val="008F3BE2"/>
    <w:rsid w:val="008F3CB1"/>
    <w:rsid w:val="008F3D3C"/>
    <w:rsid w:val="008F436B"/>
    <w:rsid w:val="008F4633"/>
    <w:rsid w:val="008F4ED1"/>
    <w:rsid w:val="008F5228"/>
    <w:rsid w:val="008F5552"/>
    <w:rsid w:val="008F5603"/>
    <w:rsid w:val="008F5821"/>
    <w:rsid w:val="008F5C5E"/>
    <w:rsid w:val="008F5D43"/>
    <w:rsid w:val="008F5D55"/>
    <w:rsid w:val="008F6864"/>
    <w:rsid w:val="008F687A"/>
    <w:rsid w:val="008F6A47"/>
    <w:rsid w:val="008F7BFC"/>
    <w:rsid w:val="008F7C1F"/>
    <w:rsid w:val="008F7D9F"/>
    <w:rsid w:val="008F7E95"/>
    <w:rsid w:val="008F7F6F"/>
    <w:rsid w:val="00900334"/>
    <w:rsid w:val="00900405"/>
    <w:rsid w:val="00900BB2"/>
    <w:rsid w:val="00901440"/>
    <w:rsid w:val="009015D2"/>
    <w:rsid w:val="0090190A"/>
    <w:rsid w:val="009019AC"/>
    <w:rsid w:val="00901F7B"/>
    <w:rsid w:val="0090235F"/>
    <w:rsid w:val="00902FC9"/>
    <w:rsid w:val="0090432A"/>
    <w:rsid w:val="00906433"/>
    <w:rsid w:val="009067D7"/>
    <w:rsid w:val="00906FCD"/>
    <w:rsid w:val="0090763C"/>
    <w:rsid w:val="0090765A"/>
    <w:rsid w:val="0091040E"/>
    <w:rsid w:val="00911123"/>
    <w:rsid w:val="009118E9"/>
    <w:rsid w:val="00911F87"/>
    <w:rsid w:val="0091271E"/>
    <w:rsid w:val="00912FDB"/>
    <w:rsid w:val="0091328F"/>
    <w:rsid w:val="0091372F"/>
    <w:rsid w:val="00913B80"/>
    <w:rsid w:val="00913DD7"/>
    <w:rsid w:val="00913F8D"/>
    <w:rsid w:val="00914626"/>
    <w:rsid w:val="00914BC6"/>
    <w:rsid w:val="009157CC"/>
    <w:rsid w:val="00915830"/>
    <w:rsid w:val="00915AA5"/>
    <w:rsid w:val="0091640B"/>
    <w:rsid w:val="0091644A"/>
    <w:rsid w:val="00916E0E"/>
    <w:rsid w:val="00916EE7"/>
    <w:rsid w:val="009173C4"/>
    <w:rsid w:val="00917D4E"/>
    <w:rsid w:val="00917FB2"/>
    <w:rsid w:val="00920AB4"/>
    <w:rsid w:val="00920B4B"/>
    <w:rsid w:val="00920BB1"/>
    <w:rsid w:val="00920DE0"/>
    <w:rsid w:val="009214D4"/>
    <w:rsid w:val="009220F2"/>
    <w:rsid w:val="009228A0"/>
    <w:rsid w:val="009230BF"/>
    <w:rsid w:val="0092332A"/>
    <w:rsid w:val="00923837"/>
    <w:rsid w:val="00924791"/>
    <w:rsid w:val="00924856"/>
    <w:rsid w:val="00924E23"/>
    <w:rsid w:val="00924E95"/>
    <w:rsid w:val="00925474"/>
    <w:rsid w:val="00926041"/>
    <w:rsid w:val="00926638"/>
    <w:rsid w:val="00926760"/>
    <w:rsid w:val="00926795"/>
    <w:rsid w:val="00926AE7"/>
    <w:rsid w:val="00927B32"/>
    <w:rsid w:val="00927FE2"/>
    <w:rsid w:val="00930353"/>
    <w:rsid w:val="00930959"/>
    <w:rsid w:val="00930B78"/>
    <w:rsid w:val="00930E4B"/>
    <w:rsid w:val="00930FC0"/>
    <w:rsid w:val="00931381"/>
    <w:rsid w:val="00931560"/>
    <w:rsid w:val="00931799"/>
    <w:rsid w:val="00931B98"/>
    <w:rsid w:val="009320C5"/>
    <w:rsid w:val="00932394"/>
    <w:rsid w:val="00932AAE"/>
    <w:rsid w:val="00933538"/>
    <w:rsid w:val="0093370E"/>
    <w:rsid w:val="00933E63"/>
    <w:rsid w:val="00934D8D"/>
    <w:rsid w:val="0093571A"/>
    <w:rsid w:val="00935CA7"/>
    <w:rsid w:val="0093685B"/>
    <w:rsid w:val="00936A61"/>
    <w:rsid w:val="00936AE8"/>
    <w:rsid w:val="00936E27"/>
    <w:rsid w:val="00937146"/>
    <w:rsid w:val="00937653"/>
    <w:rsid w:val="009378A4"/>
    <w:rsid w:val="009406C2"/>
    <w:rsid w:val="0094100D"/>
    <w:rsid w:val="00941879"/>
    <w:rsid w:val="00941C41"/>
    <w:rsid w:val="00941CE1"/>
    <w:rsid w:val="00941DF4"/>
    <w:rsid w:val="00941F90"/>
    <w:rsid w:val="00943344"/>
    <w:rsid w:val="009440BD"/>
    <w:rsid w:val="0094446A"/>
    <w:rsid w:val="009445E7"/>
    <w:rsid w:val="00944D90"/>
    <w:rsid w:val="009452BE"/>
    <w:rsid w:val="009452D5"/>
    <w:rsid w:val="00945582"/>
    <w:rsid w:val="00945636"/>
    <w:rsid w:val="00945E6B"/>
    <w:rsid w:val="0094619B"/>
    <w:rsid w:val="00946425"/>
    <w:rsid w:val="00946584"/>
    <w:rsid w:val="009467A5"/>
    <w:rsid w:val="0094685B"/>
    <w:rsid w:val="00946F4C"/>
    <w:rsid w:val="00947096"/>
    <w:rsid w:val="00950B73"/>
    <w:rsid w:val="00950CED"/>
    <w:rsid w:val="00950E22"/>
    <w:rsid w:val="00951544"/>
    <w:rsid w:val="00951D8E"/>
    <w:rsid w:val="009522B1"/>
    <w:rsid w:val="009522E4"/>
    <w:rsid w:val="00952757"/>
    <w:rsid w:val="00952A2B"/>
    <w:rsid w:val="00952CEA"/>
    <w:rsid w:val="00953195"/>
    <w:rsid w:val="0095321A"/>
    <w:rsid w:val="00953634"/>
    <w:rsid w:val="00953752"/>
    <w:rsid w:val="00953C47"/>
    <w:rsid w:val="00953E08"/>
    <w:rsid w:val="00953F9E"/>
    <w:rsid w:val="0095425C"/>
    <w:rsid w:val="00954635"/>
    <w:rsid w:val="00954818"/>
    <w:rsid w:val="009549B4"/>
    <w:rsid w:val="00954EB3"/>
    <w:rsid w:val="00954F58"/>
    <w:rsid w:val="00955015"/>
    <w:rsid w:val="00955273"/>
    <w:rsid w:val="0095550D"/>
    <w:rsid w:val="00955733"/>
    <w:rsid w:val="00955A2E"/>
    <w:rsid w:val="00955D00"/>
    <w:rsid w:val="00956935"/>
    <w:rsid w:val="00956E7E"/>
    <w:rsid w:val="00956E98"/>
    <w:rsid w:val="0095731B"/>
    <w:rsid w:val="00957784"/>
    <w:rsid w:val="00957953"/>
    <w:rsid w:val="00957AEF"/>
    <w:rsid w:val="00957E2D"/>
    <w:rsid w:val="00957F29"/>
    <w:rsid w:val="00960403"/>
    <w:rsid w:val="00960879"/>
    <w:rsid w:val="00960CF7"/>
    <w:rsid w:val="00960E70"/>
    <w:rsid w:val="0096125E"/>
    <w:rsid w:val="009617FF"/>
    <w:rsid w:val="00961C80"/>
    <w:rsid w:val="00961EB2"/>
    <w:rsid w:val="0096215E"/>
    <w:rsid w:val="00962CB0"/>
    <w:rsid w:val="00963096"/>
    <w:rsid w:val="009631E9"/>
    <w:rsid w:val="009632EB"/>
    <w:rsid w:val="009636EF"/>
    <w:rsid w:val="0096486A"/>
    <w:rsid w:val="00964980"/>
    <w:rsid w:val="00964B75"/>
    <w:rsid w:val="00964F88"/>
    <w:rsid w:val="009651EB"/>
    <w:rsid w:val="00965EF4"/>
    <w:rsid w:val="00965F66"/>
    <w:rsid w:val="00966BCE"/>
    <w:rsid w:val="00966C92"/>
    <w:rsid w:val="009704B3"/>
    <w:rsid w:val="009704C2"/>
    <w:rsid w:val="00970525"/>
    <w:rsid w:val="00970683"/>
    <w:rsid w:val="00970852"/>
    <w:rsid w:val="00971112"/>
    <w:rsid w:val="00971C0D"/>
    <w:rsid w:val="00972114"/>
    <w:rsid w:val="009727AF"/>
    <w:rsid w:val="00972E54"/>
    <w:rsid w:val="00973332"/>
    <w:rsid w:val="009736B2"/>
    <w:rsid w:val="00973CEC"/>
    <w:rsid w:val="00973E12"/>
    <w:rsid w:val="0097424E"/>
    <w:rsid w:val="009744E4"/>
    <w:rsid w:val="00974B71"/>
    <w:rsid w:val="00975452"/>
    <w:rsid w:val="009758AB"/>
    <w:rsid w:val="009759E3"/>
    <w:rsid w:val="00975E10"/>
    <w:rsid w:val="00976061"/>
    <w:rsid w:val="00977587"/>
    <w:rsid w:val="009775C3"/>
    <w:rsid w:val="00977679"/>
    <w:rsid w:val="009776CA"/>
    <w:rsid w:val="0097792A"/>
    <w:rsid w:val="009779BD"/>
    <w:rsid w:val="00977B4E"/>
    <w:rsid w:val="00977DF7"/>
    <w:rsid w:val="00980153"/>
    <w:rsid w:val="0098142D"/>
    <w:rsid w:val="00981474"/>
    <w:rsid w:val="0098157D"/>
    <w:rsid w:val="00981588"/>
    <w:rsid w:val="009817BE"/>
    <w:rsid w:val="009818F0"/>
    <w:rsid w:val="0098193E"/>
    <w:rsid w:val="009819EB"/>
    <w:rsid w:val="00981B26"/>
    <w:rsid w:val="00981E73"/>
    <w:rsid w:val="00982B56"/>
    <w:rsid w:val="0098311D"/>
    <w:rsid w:val="0098319F"/>
    <w:rsid w:val="009831CE"/>
    <w:rsid w:val="009836E6"/>
    <w:rsid w:val="00983863"/>
    <w:rsid w:val="0098397C"/>
    <w:rsid w:val="00983AAC"/>
    <w:rsid w:val="0098412B"/>
    <w:rsid w:val="009848AA"/>
    <w:rsid w:val="0098496A"/>
    <w:rsid w:val="00984A6B"/>
    <w:rsid w:val="00984A6C"/>
    <w:rsid w:val="00984B8B"/>
    <w:rsid w:val="00984C18"/>
    <w:rsid w:val="00985228"/>
    <w:rsid w:val="0098577A"/>
    <w:rsid w:val="00985BCE"/>
    <w:rsid w:val="00985E07"/>
    <w:rsid w:val="00985F3C"/>
    <w:rsid w:val="0098707E"/>
    <w:rsid w:val="00987419"/>
    <w:rsid w:val="0098778B"/>
    <w:rsid w:val="00987840"/>
    <w:rsid w:val="00987845"/>
    <w:rsid w:val="00990134"/>
    <w:rsid w:val="00990A36"/>
    <w:rsid w:val="00990A58"/>
    <w:rsid w:val="00990A69"/>
    <w:rsid w:val="0099168C"/>
    <w:rsid w:val="00991B12"/>
    <w:rsid w:val="00991E64"/>
    <w:rsid w:val="009927AE"/>
    <w:rsid w:val="009929BE"/>
    <w:rsid w:val="00992B2C"/>
    <w:rsid w:val="00992D2B"/>
    <w:rsid w:val="00992E7C"/>
    <w:rsid w:val="0099390C"/>
    <w:rsid w:val="00993BC5"/>
    <w:rsid w:val="0099442E"/>
    <w:rsid w:val="00994815"/>
    <w:rsid w:val="00994F99"/>
    <w:rsid w:val="00994F9D"/>
    <w:rsid w:val="009955A3"/>
    <w:rsid w:val="00995830"/>
    <w:rsid w:val="00995AB5"/>
    <w:rsid w:val="00995E17"/>
    <w:rsid w:val="00995F6A"/>
    <w:rsid w:val="00996514"/>
    <w:rsid w:val="00996A88"/>
    <w:rsid w:val="00996E42"/>
    <w:rsid w:val="00997154"/>
    <w:rsid w:val="0099778A"/>
    <w:rsid w:val="00997AC5"/>
    <w:rsid w:val="00997C1C"/>
    <w:rsid w:val="00997EC3"/>
    <w:rsid w:val="009A08E8"/>
    <w:rsid w:val="009A0982"/>
    <w:rsid w:val="009A0F74"/>
    <w:rsid w:val="009A1318"/>
    <w:rsid w:val="009A14AA"/>
    <w:rsid w:val="009A1512"/>
    <w:rsid w:val="009A163C"/>
    <w:rsid w:val="009A19A6"/>
    <w:rsid w:val="009A1D2F"/>
    <w:rsid w:val="009A203D"/>
    <w:rsid w:val="009A2075"/>
    <w:rsid w:val="009A2952"/>
    <w:rsid w:val="009A3381"/>
    <w:rsid w:val="009A3869"/>
    <w:rsid w:val="009A428C"/>
    <w:rsid w:val="009A444F"/>
    <w:rsid w:val="009A4E3A"/>
    <w:rsid w:val="009A4E87"/>
    <w:rsid w:val="009A4F63"/>
    <w:rsid w:val="009A50BE"/>
    <w:rsid w:val="009A570B"/>
    <w:rsid w:val="009A5B09"/>
    <w:rsid w:val="009A634E"/>
    <w:rsid w:val="009B0530"/>
    <w:rsid w:val="009B15C8"/>
    <w:rsid w:val="009B180F"/>
    <w:rsid w:val="009B188A"/>
    <w:rsid w:val="009B1CB8"/>
    <w:rsid w:val="009B2458"/>
    <w:rsid w:val="009B29AD"/>
    <w:rsid w:val="009B2C03"/>
    <w:rsid w:val="009B3043"/>
    <w:rsid w:val="009B36ED"/>
    <w:rsid w:val="009B37C3"/>
    <w:rsid w:val="009B3801"/>
    <w:rsid w:val="009B477A"/>
    <w:rsid w:val="009B4D44"/>
    <w:rsid w:val="009B4EC2"/>
    <w:rsid w:val="009B50AC"/>
    <w:rsid w:val="009B5390"/>
    <w:rsid w:val="009B53F8"/>
    <w:rsid w:val="009B5456"/>
    <w:rsid w:val="009B5472"/>
    <w:rsid w:val="009B5611"/>
    <w:rsid w:val="009B6089"/>
    <w:rsid w:val="009B67B1"/>
    <w:rsid w:val="009B69C0"/>
    <w:rsid w:val="009B69ED"/>
    <w:rsid w:val="009B6EE8"/>
    <w:rsid w:val="009B703A"/>
    <w:rsid w:val="009B7213"/>
    <w:rsid w:val="009B72C1"/>
    <w:rsid w:val="009B746F"/>
    <w:rsid w:val="009B7503"/>
    <w:rsid w:val="009B75B8"/>
    <w:rsid w:val="009B7F40"/>
    <w:rsid w:val="009C01E0"/>
    <w:rsid w:val="009C03C6"/>
    <w:rsid w:val="009C0616"/>
    <w:rsid w:val="009C0746"/>
    <w:rsid w:val="009C0DE7"/>
    <w:rsid w:val="009C0E9E"/>
    <w:rsid w:val="009C136E"/>
    <w:rsid w:val="009C1664"/>
    <w:rsid w:val="009C173D"/>
    <w:rsid w:val="009C1766"/>
    <w:rsid w:val="009C1B14"/>
    <w:rsid w:val="009C22FF"/>
    <w:rsid w:val="009C28F6"/>
    <w:rsid w:val="009C2CD1"/>
    <w:rsid w:val="009C32E1"/>
    <w:rsid w:val="009C399C"/>
    <w:rsid w:val="009C3F65"/>
    <w:rsid w:val="009C44CC"/>
    <w:rsid w:val="009C4961"/>
    <w:rsid w:val="009C4FFF"/>
    <w:rsid w:val="009C5102"/>
    <w:rsid w:val="009C631A"/>
    <w:rsid w:val="009C6371"/>
    <w:rsid w:val="009C6703"/>
    <w:rsid w:val="009C6883"/>
    <w:rsid w:val="009C6E27"/>
    <w:rsid w:val="009C75A0"/>
    <w:rsid w:val="009C7C0B"/>
    <w:rsid w:val="009C7E5B"/>
    <w:rsid w:val="009C7FFD"/>
    <w:rsid w:val="009D03B7"/>
    <w:rsid w:val="009D05F6"/>
    <w:rsid w:val="009D0D08"/>
    <w:rsid w:val="009D0DA4"/>
    <w:rsid w:val="009D13EE"/>
    <w:rsid w:val="009D18A3"/>
    <w:rsid w:val="009D18DF"/>
    <w:rsid w:val="009D1F8B"/>
    <w:rsid w:val="009D223A"/>
    <w:rsid w:val="009D24F8"/>
    <w:rsid w:val="009D26C0"/>
    <w:rsid w:val="009D2DB4"/>
    <w:rsid w:val="009D2FF8"/>
    <w:rsid w:val="009D3709"/>
    <w:rsid w:val="009D39AA"/>
    <w:rsid w:val="009D3CD3"/>
    <w:rsid w:val="009D48E4"/>
    <w:rsid w:val="009D4944"/>
    <w:rsid w:val="009D4C48"/>
    <w:rsid w:val="009D4DEE"/>
    <w:rsid w:val="009D54C4"/>
    <w:rsid w:val="009D5545"/>
    <w:rsid w:val="009D57B9"/>
    <w:rsid w:val="009D5FAB"/>
    <w:rsid w:val="009D7047"/>
    <w:rsid w:val="009D74DA"/>
    <w:rsid w:val="009D76D4"/>
    <w:rsid w:val="009E0489"/>
    <w:rsid w:val="009E05A7"/>
    <w:rsid w:val="009E0B0A"/>
    <w:rsid w:val="009E0BAD"/>
    <w:rsid w:val="009E0CED"/>
    <w:rsid w:val="009E0D3B"/>
    <w:rsid w:val="009E1119"/>
    <w:rsid w:val="009E1473"/>
    <w:rsid w:val="009E1A39"/>
    <w:rsid w:val="009E1FC0"/>
    <w:rsid w:val="009E283A"/>
    <w:rsid w:val="009E28C5"/>
    <w:rsid w:val="009E2F6E"/>
    <w:rsid w:val="009E36CA"/>
    <w:rsid w:val="009E3717"/>
    <w:rsid w:val="009E541E"/>
    <w:rsid w:val="009E55CE"/>
    <w:rsid w:val="009E58E8"/>
    <w:rsid w:val="009E5B75"/>
    <w:rsid w:val="009E5ECB"/>
    <w:rsid w:val="009E6E97"/>
    <w:rsid w:val="009E706B"/>
    <w:rsid w:val="009E7098"/>
    <w:rsid w:val="009E7553"/>
    <w:rsid w:val="009E765C"/>
    <w:rsid w:val="009F0527"/>
    <w:rsid w:val="009F09AF"/>
    <w:rsid w:val="009F0BAB"/>
    <w:rsid w:val="009F113D"/>
    <w:rsid w:val="009F12DC"/>
    <w:rsid w:val="009F207C"/>
    <w:rsid w:val="009F20B8"/>
    <w:rsid w:val="009F2DE6"/>
    <w:rsid w:val="009F33A2"/>
    <w:rsid w:val="009F355A"/>
    <w:rsid w:val="009F367D"/>
    <w:rsid w:val="009F39BF"/>
    <w:rsid w:val="009F3AB5"/>
    <w:rsid w:val="009F40ED"/>
    <w:rsid w:val="009F40EF"/>
    <w:rsid w:val="009F41E6"/>
    <w:rsid w:val="009F43E2"/>
    <w:rsid w:val="009F4441"/>
    <w:rsid w:val="009F4548"/>
    <w:rsid w:val="009F4CC3"/>
    <w:rsid w:val="009F4D8F"/>
    <w:rsid w:val="009F527A"/>
    <w:rsid w:val="009F5904"/>
    <w:rsid w:val="009F602E"/>
    <w:rsid w:val="009F60F7"/>
    <w:rsid w:val="009F6770"/>
    <w:rsid w:val="009F6A28"/>
    <w:rsid w:val="009F7073"/>
    <w:rsid w:val="009F778F"/>
    <w:rsid w:val="009F7A1F"/>
    <w:rsid w:val="009F7F94"/>
    <w:rsid w:val="00A00238"/>
    <w:rsid w:val="00A002CF"/>
    <w:rsid w:val="00A01054"/>
    <w:rsid w:val="00A01290"/>
    <w:rsid w:val="00A01845"/>
    <w:rsid w:val="00A01DC1"/>
    <w:rsid w:val="00A02CFE"/>
    <w:rsid w:val="00A033A5"/>
    <w:rsid w:val="00A035B2"/>
    <w:rsid w:val="00A03975"/>
    <w:rsid w:val="00A03A47"/>
    <w:rsid w:val="00A03C1E"/>
    <w:rsid w:val="00A03CEB"/>
    <w:rsid w:val="00A047E4"/>
    <w:rsid w:val="00A04E87"/>
    <w:rsid w:val="00A04F24"/>
    <w:rsid w:val="00A04F49"/>
    <w:rsid w:val="00A04FD1"/>
    <w:rsid w:val="00A05073"/>
    <w:rsid w:val="00A05096"/>
    <w:rsid w:val="00A05116"/>
    <w:rsid w:val="00A05423"/>
    <w:rsid w:val="00A069AE"/>
    <w:rsid w:val="00A06ACD"/>
    <w:rsid w:val="00A07CD7"/>
    <w:rsid w:val="00A07EFE"/>
    <w:rsid w:val="00A10111"/>
    <w:rsid w:val="00A1021F"/>
    <w:rsid w:val="00A10395"/>
    <w:rsid w:val="00A106F1"/>
    <w:rsid w:val="00A107EC"/>
    <w:rsid w:val="00A11425"/>
    <w:rsid w:val="00A11C30"/>
    <w:rsid w:val="00A12797"/>
    <w:rsid w:val="00A130B5"/>
    <w:rsid w:val="00A13A1A"/>
    <w:rsid w:val="00A14A9A"/>
    <w:rsid w:val="00A14E52"/>
    <w:rsid w:val="00A14EF7"/>
    <w:rsid w:val="00A15589"/>
    <w:rsid w:val="00A15651"/>
    <w:rsid w:val="00A15A42"/>
    <w:rsid w:val="00A15B40"/>
    <w:rsid w:val="00A15EC4"/>
    <w:rsid w:val="00A163FA"/>
    <w:rsid w:val="00A16EB2"/>
    <w:rsid w:val="00A16EF6"/>
    <w:rsid w:val="00A17414"/>
    <w:rsid w:val="00A17416"/>
    <w:rsid w:val="00A17E3F"/>
    <w:rsid w:val="00A201B2"/>
    <w:rsid w:val="00A2047C"/>
    <w:rsid w:val="00A213F3"/>
    <w:rsid w:val="00A21639"/>
    <w:rsid w:val="00A21658"/>
    <w:rsid w:val="00A21733"/>
    <w:rsid w:val="00A219CE"/>
    <w:rsid w:val="00A21CD6"/>
    <w:rsid w:val="00A21ECA"/>
    <w:rsid w:val="00A22310"/>
    <w:rsid w:val="00A22D56"/>
    <w:rsid w:val="00A2308E"/>
    <w:rsid w:val="00A23171"/>
    <w:rsid w:val="00A23251"/>
    <w:rsid w:val="00A23728"/>
    <w:rsid w:val="00A23889"/>
    <w:rsid w:val="00A23A56"/>
    <w:rsid w:val="00A23EE7"/>
    <w:rsid w:val="00A24334"/>
    <w:rsid w:val="00A24370"/>
    <w:rsid w:val="00A247DD"/>
    <w:rsid w:val="00A24AB6"/>
    <w:rsid w:val="00A25358"/>
    <w:rsid w:val="00A25C07"/>
    <w:rsid w:val="00A25EB6"/>
    <w:rsid w:val="00A25FE9"/>
    <w:rsid w:val="00A27382"/>
    <w:rsid w:val="00A27400"/>
    <w:rsid w:val="00A2745B"/>
    <w:rsid w:val="00A274B0"/>
    <w:rsid w:val="00A276B8"/>
    <w:rsid w:val="00A27CE8"/>
    <w:rsid w:val="00A27CF6"/>
    <w:rsid w:val="00A27D89"/>
    <w:rsid w:val="00A27FD3"/>
    <w:rsid w:val="00A30B99"/>
    <w:rsid w:val="00A30FB7"/>
    <w:rsid w:val="00A31AAC"/>
    <w:rsid w:val="00A31B35"/>
    <w:rsid w:val="00A327FC"/>
    <w:rsid w:val="00A329AE"/>
    <w:rsid w:val="00A32BBD"/>
    <w:rsid w:val="00A32C8A"/>
    <w:rsid w:val="00A32CEC"/>
    <w:rsid w:val="00A32CF9"/>
    <w:rsid w:val="00A32E10"/>
    <w:rsid w:val="00A33066"/>
    <w:rsid w:val="00A337A7"/>
    <w:rsid w:val="00A343CE"/>
    <w:rsid w:val="00A34497"/>
    <w:rsid w:val="00A34C51"/>
    <w:rsid w:val="00A351A6"/>
    <w:rsid w:val="00A3532A"/>
    <w:rsid w:val="00A35418"/>
    <w:rsid w:val="00A35528"/>
    <w:rsid w:val="00A356E2"/>
    <w:rsid w:val="00A36327"/>
    <w:rsid w:val="00A36738"/>
    <w:rsid w:val="00A3691D"/>
    <w:rsid w:val="00A36959"/>
    <w:rsid w:val="00A36D79"/>
    <w:rsid w:val="00A37410"/>
    <w:rsid w:val="00A378C9"/>
    <w:rsid w:val="00A37D9C"/>
    <w:rsid w:val="00A40408"/>
    <w:rsid w:val="00A40753"/>
    <w:rsid w:val="00A4088B"/>
    <w:rsid w:val="00A40E97"/>
    <w:rsid w:val="00A411FA"/>
    <w:rsid w:val="00A41218"/>
    <w:rsid w:val="00A41802"/>
    <w:rsid w:val="00A41804"/>
    <w:rsid w:val="00A41AA6"/>
    <w:rsid w:val="00A41F24"/>
    <w:rsid w:val="00A42617"/>
    <w:rsid w:val="00A42732"/>
    <w:rsid w:val="00A428D4"/>
    <w:rsid w:val="00A428F2"/>
    <w:rsid w:val="00A42DAA"/>
    <w:rsid w:val="00A43141"/>
    <w:rsid w:val="00A437E1"/>
    <w:rsid w:val="00A43B10"/>
    <w:rsid w:val="00A43B6A"/>
    <w:rsid w:val="00A45820"/>
    <w:rsid w:val="00A459AB"/>
    <w:rsid w:val="00A46F90"/>
    <w:rsid w:val="00A47069"/>
    <w:rsid w:val="00A474C4"/>
    <w:rsid w:val="00A47530"/>
    <w:rsid w:val="00A47577"/>
    <w:rsid w:val="00A502D6"/>
    <w:rsid w:val="00A50309"/>
    <w:rsid w:val="00A5064A"/>
    <w:rsid w:val="00A507B9"/>
    <w:rsid w:val="00A509D9"/>
    <w:rsid w:val="00A50DA6"/>
    <w:rsid w:val="00A50FA3"/>
    <w:rsid w:val="00A5171B"/>
    <w:rsid w:val="00A51A0E"/>
    <w:rsid w:val="00A5269A"/>
    <w:rsid w:val="00A529E9"/>
    <w:rsid w:val="00A52A70"/>
    <w:rsid w:val="00A52BB4"/>
    <w:rsid w:val="00A52C8A"/>
    <w:rsid w:val="00A53677"/>
    <w:rsid w:val="00A53813"/>
    <w:rsid w:val="00A539DD"/>
    <w:rsid w:val="00A542D6"/>
    <w:rsid w:val="00A54F60"/>
    <w:rsid w:val="00A551D4"/>
    <w:rsid w:val="00A5524A"/>
    <w:rsid w:val="00A55390"/>
    <w:rsid w:val="00A558A6"/>
    <w:rsid w:val="00A55B17"/>
    <w:rsid w:val="00A5680D"/>
    <w:rsid w:val="00A56D03"/>
    <w:rsid w:val="00A56D96"/>
    <w:rsid w:val="00A57069"/>
    <w:rsid w:val="00A5707F"/>
    <w:rsid w:val="00A57ECE"/>
    <w:rsid w:val="00A6043A"/>
    <w:rsid w:val="00A6048E"/>
    <w:rsid w:val="00A6059B"/>
    <w:rsid w:val="00A60D34"/>
    <w:rsid w:val="00A60E39"/>
    <w:rsid w:val="00A6164E"/>
    <w:rsid w:val="00A6204C"/>
    <w:rsid w:val="00A620E3"/>
    <w:rsid w:val="00A62114"/>
    <w:rsid w:val="00A62210"/>
    <w:rsid w:val="00A62AE5"/>
    <w:rsid w:val="00A62BF2"/>
    <w:rsid w:val="00A62C31"/>
    <w:rsid w:val="00A63840"/>
    <w:rsid w:val="00A63B54"/>
    <w:rsid w:val="00A65411"/>
    <w:rsid w:val="00A6545A"/>
    <w:rsid w:val="00A654C3"/>
    <w:rsid w:val="00A657BF"/>
    <w:rsid w:val="00A65871"/>
    <w:rsid w:val="00A6590E"/>
    <w:rsid w:val="00A65ADF"/>
    <w:rsid w:val="00A65C05"/>
    <w:rsid w:val="00A65FAF"/>
    <w:rsid w:val="00A663A9"/>
    <w:rsid w:val="00A6651C"/>
    <w:rsid w:val="00A66806"/>
    <w:rsid w:val="00A66E97"/>
    <w:rsid w:val="00A671A8"/>
    <w:rsid w:val="00A677AB"/>
    <w:rsid w:val="00A67A5F"/>
    <w:rsid w:val="00A67B08"/>
    <w:rsid w:val="00A70593"/>
    <w:rsid w:val="00A70677"/>
    <w:rsid w:val="00A70878"/>
    <w:rsid w:val="00A7094F"/>
    <w:rsid w:val="00A71243"/>
    <w:rsid w:val="00A71A51"/>
    <w:rsid w:val="00A71D9B"/>
    <w:rsid w:val="00A71EC1"/>
    <w:rsid w:val="00A7246C"/>
    <w:rsid w:val="00A7263E"/>
    <w:rsid w:val="00A72933"/>
    <w:rsid w:val="00A7296F"/>
    <w:rsid w:val="00A731CE"/>
    <w:rsid w:val="00A735CE"/>
    <w:rsid w:val="00A739C5"/>
    <w:rsid w:val="00A73C98"/>
    <w:rsid w:val="00A73D5B"/>
    <w:rsid w:val="00A740F1"/>
    <w:rsid w:val="00A7431A"/>
    <w:rsid w:val="00A744F9"/>
    <w:rsid w:val="00A74608"/>
    <w:rsid w:val="00A75269"/>
    <w:rsid w:val="00A7527D"/>
    <w:rsid w:val="00A75663"/>
    <w:rsid w:val="00A76D54"/>
    <w:rsid w:val="00A76DD5"/>
    <w:rsid w:val="00A77862"/>
    <w:rsid w:val="00A801CF"/>
    <w:rsid w:val="00A80364"/>
    <w:rsid w:val="00A80620"/>
    <w:rsid w:val="00A80742"/>
    <w:rsid w:val="00A80ED8"/>
    <w:rsid w:val="00A819BD"/>
    <w:rsid w:val="00A8273D"/>
    <w:rsid w:val="00A83278"/>
    <w:rsid w:val="00A834A7"/>
    <w:rsid w:val="00A8362D"/>
    <w:rsid w:val="00A837B3"/>
    <w:rsid w:val="00A83CD2"/>
    <w:rsid w:val="00A83F4F"/>
    <w:rsid w:val="00A84578"/>
    <w:rsid w:val="00A84702"/>
    <w:rsid w:val="00A84FF0"/>
    <w:rsid w:val="00A850FD"/>
    <w:rsid w:val="00A8515F"/>
    <w:rsid w:val="00A85636"/>
    <w:rsid w:val="00A85D47"/>
    <w:rsid w:val="00A85FE3"/>
    <w:rsid w:val="00A86694"/>
    <w:rsid w:val="00A86A98"/>
    <w:rsid w:val="00A86B92"/>
    <w:rsid w:val="00A86D1E"/>
    <w:rsid w:val="00A87205"/>
    <w:rsid w:val="00A87D2F"/>
    <w:rsid w:val="00A87DEC"/>
    <w:rsid w:val="00A87E9E"/>
    <w:rsid w:val="00A90C0B"/>
    <w:rsid w:val="00A91162"/>
    <w:rsid w:val="00A92A60"/>
    <w:rsid w:val="00A92D68"/>
    <w:rsid w:val="00A92DA0"/>
    <w:rsid w:val="00A9363E"/>
    <w:rsid w:val="00A938A8"/>
    <w:rsid w:val="00A938E5"/>
    <w:rsid w:val="00A93F1D"/>
    <w:rsid w:val="00A93F82"/>
    <w:rsid w:val="00A9505E"/>
    <w:rsid w:val="00A95134"/>
    <w:rsid w:val="00A95C9F"/>
    <w:rsid w:val="00A95E74"/>
    <w:rsid w:val="00A961CB"/>
    <w:rsid w:val="00A9643A"/>
    <w:rsid w:val="00A966E6"/>
    <w:rsid w:val="00A96DD7"/>
    <w:rsid w:val="00A96F83"/>
    <w:rsid w:val="00A970D3"/>
    <w:rsid w:val="00A97742"/>
    <w:rsid w:val="00A977B4"/>
    <w:rsid w:val="00A97808"/>
    <w:rsid w:val="00A97DF7"/>
    <w:rsid w:val="00AA0038"/>
    <w:rsid w:val="00AA0148"/>
    <w:rsid w:val="00AA0552"/>
    <w:rsid w:val="00AA0F43"/>
    <w:rsid w:val="00AA111B"/>
    <w:rsid w:val="00AA113A"/>
    <w:rsid w:val="00AA1FB8"/>
    <w:rsid w:val="00AA201A"/>
    <w:rsid w:val="00AA23E4"/>
    <w:rsid w:val="00AA2587"/>
    <w:rsid w:val="00AA2AA8"/>
    <w:rsid w:val="00AA2E34"/>
    <w:rsid w:val="00AA35AF"/>
    <w:rsid w:val="00AA381D"/>
    <w:rsid w:val="00AA3F33"/>
    <w:rsid w:val="00AA3FA9"/>
    <w:rsid w:val="00AA427D"/>
    <w:rsid w:val="00AA50C3"/>
    <w:rsid w:val="00AA534E"/>
    <w:rsid w:val="00AA5BA4"/>
    <w:rsid w:val="00AA61E0"/>
    <w:rsid w:val="00AA6AB6"/>
    <w:rsid w:val="00AA7002"/>
    <w:rsid w:val="00AA7149"/>
    <w:rsid w:val="00AA7E93"/>
    <w:rsid w:val="00AA7EAF"/>
    <w:rsid w:val="00AB00DE"/>
    <w:rsid w:val="00AB0150"/>
    <w:rsid w:val="00AB02A3"/>
    <w:rsid w:val="00AB070F"/>
    <w:rsid w:val="00AB077B"/>
    <w:rsid w:val="00AB09EC"/>
    <w:rsid w:val="00AB0A85"/>
    <w:rsid w:val="00AB10A7"/>
    <w:rsid w:val="00AB1112"/>
    <w:rsid w:val="00AB111D"/>
    <w:rsid w:val="00AB1502"/>
    <w:rsid w:val="00AB15E8"/>
    <w:rsid w:val="00AB1822"/>
    <w:rsid w:val="00AB1CE0"/>
    <w:rsid w:val="00AB1D92"/>
    <w:rsid w:val="00AB20D0"/>
    <w:rsid w:val="00AB27A5"/>
    <w:rsid w:val="00AB2A93"/>
    <w:rsid w:val="00AB2C8D"/>
    <w:rsid w:val="00AB2D98"/>
    <w:rsid w:val="00AB3191"/>
    <w:rsid w:val="00AB3466"/>
    <w:rsid w:val="00AB39D6"/>
    <w:rsid w:val="00AB3B36"/>
    <w:rsid w:val="00AB3D6D"/>
    <w:rsid w:val="00AB3DF5"/>
    <w:rsid w:val="00AB4434"/>
    <w:rsid w:val="00AB44C7"/>
    <w:rsid w:val="00AB49B5"/>
    <w:rsid w:val="00AB4CF8"/>
    <w:rsid w:val="00AB4DBD"/>
    <w:rsid w:val="00AB4FAA"/>
    <w:rsid w:val="00AB5170"/>
    <w:rsid w:val="00AB5186"/>
    <w:rsid w:val="00AB588D"/>
    <w:rsid w:val="00AB592F"/>
    <w:rsid w:val="00AB5EEE"/>
    <w:rsid w:val="00AB65A1"/>
    <w:rsid w:val="00AB67EA"/>
    <w:rsid w:val="00AB6990"/>
    <w:rsid w:val="00AB6B76"/>
    <w:rsid w:val="00AB71B7"/>
    <w:rsid w:val="00AB796D"/>
    <w:rsid w:val="00AC036E"/>
    <w:rsid w:val="00AC0A1B"/>
    <w:rsid w:val="00AC0E62"/>
    <w:rsid w:val="00AC1385"/>
    <w:rsid w:val="00AC164A"/>
    <w:rsid w:val="00AC2223"/>
    <w:rsid w:val="00AC2E15"/>
    <w:rsid w:val="00AC3294"/>
    <w:rsid w:val="00AC3455"/>
    <w:rsid w:val="00AC3930"/>
    <w:rsid w:val="00AC3ADA"/>
    <w:rsid w:val="00AC3C16"/>
    <w:rsid w:val="00AC459E"/>
    <w:rsid w:val="00AC4A60"/>
    <w:rsid w:val="00AC57C0"/>
    <w:rsid w:val="00AC5EA3"/>
    <w:rsid w:val="00AC657B"/>
    <w:rsid w:val="00AC6D70"/>
    <w:rsid w:val="00AC6EC1"/>
    <w:rsid w:val="00AC6EE6"/>
    <w:rsid w:val="00AC7089"/>
    <w:rsid w:val="00AC75FA"/>
    <w:rsid w:val="00AC77BE"/>
    <w:rsid w:val="00AC7827"/>
    <w:rsid w:val="00AC78C1"/>
    <w:rsid w:val="00AC7E21"/>
    <w:rsid w:val="00AC7E92"/>
    <w:rsid w:val="00AC7F26"/>
    <w:rsid w:val="00AD0353"/>
    <w:rsid w:val="00AD0CC7"/>
    <w:rsid w:val="00AD1147"/>
    <w:rsid w:val="00AD1BB4"/>
    <w:rsid w:val="00AD1DDF"/>
    <w:rsid w:val="00AD2346"/>
    <w:rsid w:val="00AD24E6"/>
    <w:rsid w:val="00AD2D25"/>
    <w:rsid w:val="00AD390F"/>
    <w:rsid w:val="00AD3926"/>
    <w:rsid w:val="00AD41D5"/>
    <w:rsid w:val="00AD437E"/>
    <w:rsid w:val="00AD4F0F"/>
    <w:rsid w:val="00AD538A"/>
    <w:rsid w:val="00AD565A"/>
    <w:rsid w:val="00AD5F7C"/>
    <w:rsid w:val="00AD606F"/>
    <w:rsid w:val="00AD6200"/>
    <w:rsid w:val="00AD6639"/>
    <w:rsid w:val="00AD6EA9"/>
    <w:rsid w:val="00AD6F5A"/>
    <w:rsid w:val="00AD76ED"/>
    <w:rsid w:val="00AD7B5A"/>
    <w:rsid w:val="00AD7E03"/>
    <w:rsid w:val="00AE0243"/>
    <w:rsid w:val="00AE02AC"/>
    <w:rsid w:val="00AE045D"/>
    <w:rsid w:val="00AE0896"/>
    <w:rsid w:val="00AE0920"/>
    <w:rsid w:val="00AE0960"/>
    <w:rsid w:val="00AE0C68"/>
    <w:rsid w:val="00AE149A"/>
    <w:rsid w:val="00AE193C"/>
    <w:rsid w:val="00AE1DA9"/>
    <w:rsid w:val="00AE2058"/>
    <w:rsid w:val="00AE21A6"/>
    <w:rsid w:val="00AE2C9E"/>
    <w:rsid w:val="00AE2D04"/>
    <w:rsid w:val="00AE3350"/>
    <w:rsid w:val="00AE350B"/>
    <w:rsid w:val="00AE3D82"/>
    <w:rsid w:val="00AE52D4"/>
    <w:rsid w:val="00AE5423"/>
    <w:rsid w:val="00AE61BA"/>
    <w:rsid w:val="00AE68D1"/>
    <w:rsid w:val="00AE68F7"/>
    <w:rsid w:val="00AE6B6A"/>
    <w:rsid w:val="00AE6C6A"/>
    <w:rsid w:val="00AE786D"/>
    <w:rsid w:val="00AE795D"/>
    <w:rsid w:val="00AF0357"/>
    <w:rsid w:val="00AF04A0"/>
    <w:rsid w:val="00AF0EE1"/>
    <w:rsid w:val="00AF15CA"/>
    <w:rsid w:val="00AF175E"/>
    <w:rsid w:val="00AF254A"/>
    <w:rsid w:val="00AF2692"/>
    <w:rsid w:val="00AF32F6"/>
    <w:rsid w:val="00AF3553"/>
    <w:rsid w:val="00AF36B5"/>
    <w:rsid w:val="00AF415E"/>
    <w:rsid w:val="00AF4239"/>
    <w:rsid w:val="00AF5432"/>
    <w:rsid w:val="00AF55CD"/>
    <w:rsid w:val="00AF5CCF"/>
    <w:rsid w:val="00AF678C"/>
    <w:rsid w:val="00AF6DE6"/>
    <w:rsid w:val="00AF758E"/>
    <w:rsid w:val="00AF7A74"/>
    <w:rsid w:val="00B000C3"/>
    <w:rsid w:val="00B00A76"/>
    <w:rsid w:val="00B00AED"/>
    <w:rsid w:val="00B01051"/>
    <w:rsid w:val="00B0107E"/>
    <w:rsid w:val="00B014CB"/>
    <w:rsid w:val="00B01652"/>
    <w:rsid w:val="00B01690"/>
    <w:rsid w:val="00B01A9F"/>
    <w:rsid w:val="00B01FD6"/>
    <w:rsid w:val="00B02B1E"/>
    <w:rsid w:val="00B02D3B"/>
    <w:rsid w:val="00B02DB0"/>
    <w:rsid w:val="00B02F7E"/>
    <w:rsid w:val="00B02FEA"/>
    <w:rsid w:val="00B03A5F"/>
    <w:rsid w:val="00B03D6F"/>
    <w:rsid w:val="00B03EA4"/>
    <w:rsid w:val="00B047B8"/>
    <w:rsid w:val="00B049CA"/>
    <w:rsid w:val="00B04D76"/>
    <w:rsid w:val="00B05473"/>
    <w:rsid w:val="00B05ABC"/>
    <w:rsid w:val="00B05D34"/>
    <w:rsid w:val="00B05D63"/>
    <w:rsid w:val="00B062FC"/>
    <w:rsid w:val="00B06AF3"/>
    <w:rsid w:val="00B06F89"/>
    <w:rsid w:val="00B07237"/>
    <w:rsid w:val="00B07886"/>
    <w:rsid w:val="00B07F93"/>
    <w:rsid w:val="00B07FB8"/>
    <w:rsid w:val="00B1017F"/>
    <w:rsid w:val="00B10412"/>
    <w:rsid w:val="00B108B1"/>
    <w:rsid w:val="00B10978"/>
    <w:rsid w:val="00B10FAF"/>
    <w:rsid w:val="00B1118D"/>
    <w:rsid w:val="00B11447"/>
    <w:rsid w:val="00B11519"/>
    <w:rsid w:val="00B1160C"/>
    <w:rsid w:val="00B11B5A"/>
    <w:rsid w:val="00B12265"/>
    <w:rsid w:val="00B12CF0"/>
    <w:rsid w:val="00B12F46"/>
    <w:rsid w:val="00B12FB2"/>
    <w:rsid w:val="00B130C2"/>
    <w:rsid w:val="00B134E1"/>
    <w:rsid w:val="00B13C3E"/>
    <w:rsid w:val="00B14187"/>
    <w:rsid w:val="00B14381"/>
    <w:rsid w:val="00B1454A"/>
    <w:rsid w:val="00B148A9"/>
    <w:rsid w:val="00B14A69"/>
    <w:rsid w:val="00B14C0F"/>
    <w:rsid w:val="00B14ECF"/>
    <w:rsid w:val="00B16265"/>
    <w:rsid w:val="00B16E8C"/>
    <w:rsid w:val="00B16FCA"/>
    <w:rsid w:val="00B1737E"/>
    <w:rsid w:val="00B174AA"/>
    <w:rsid w:val="00B176B5"/>
    <w:rsid w:val="00B17703"/>
    <w:rsid w:val="00B1787D"/>
    <w:rsid w:val="00B17E38"/>
    <w:rsid w:val="00B17F85"/>
    <w:rsid w:val="00B201C3"/>
    <w:rsid w:val="00B20A2B"/>
    <w:rsid w:val="00B20AA5"/>
    <w:rsid w:val="00B2174F"/>
    <w:rsid w:val="00B21DBB"/>
    <w:rsid w:val="00B21F0E"/>
    <w:rsid w:val="00B222E3"/>
    <w:rsid w:val="00B226E8"/>
    <w:rsid w:val="00B2279C"/>
    <w:rsid w:val="00B22AE8"/>
    <w:rsid w:val="00B22B70"/>
    <w:rsid w:val="00B235C4"/>
    <w:rsid w:val="00B23DAA"/>
    <w:rsid w:val="00B24747"/>
    <w:rsid w:val="00B24AA9"/>
    <w:rsid w:val="00B24BEE"/>
    <w:rsid w:val="00B24C36"/>
    <w:rsid w:val="00B24D11"/>
    <w:rsid w:val="00B24D6F"/>
    <w:rsid w:val="00B25181"/>
    <w:rsid w:val="00B25AAC"/>
    <w:rsid w:val="00B25B3D"/>
    <w:rsid w:val="00B262F2"/>
    <w:rsid w:val="00B264C5"/>
    <w:rsid w:val="00B272AB"/>
    <w:rsid w:val="00B27BFE"/>
    <w:rsid w:val="00B30E5A"/>
    <w:rsid w:val="00B30F34"/>
    <w:rsid w:val="00B31BD6"/>
    <w:rsid w:val="00B320E2"/>
    <w:rsid w:val="00B321E2"/>
    <w:rsid w:val="00B3238D"/>
    <w:rsid w:val="00B324B7"/>
    <w:rsid w:val="00B33445"/>
    <w:rsid w:val="00B33890"/>
    <w:rsid w:val="00B34451"/>
    <w:rsid w:val="00B34974"/>
    <w:rsid w:val="00B34AE1"/>
    <w:rsid w:val="00B34B4D"/>
    <w:rsid w:val="00B3555B"/>
    <w:rsid w:val="00B35DEE"/>
    <w:rsid w:val="00B35E4F"/>
    <w:rsid w:val="00B35F8C"/>
    <w:rsid w:val="00B36ABB"/>
    <w:rsid w:val="00B36B17"/>
    <w:rsid w:val="00B3703F"/>
    <w:rsid w:val="00B370E6"/>
    <w:rsid w:val="00B37362"/>
    <w:rsid w:val="00B37505"/>
    <w:rsid w:val="00B377E5"/>
    <w:rsid w:val="00B37FD3"/>
    <w:rsid w:val="00B37FF5"/>
    <w:rsid w:val="00B4010C"/>
    <w:rsid w:val="00B40BDF"/>
    <w:rsid w:val="00B41177"/>
    <w:rsid w:val="00B414D2"/>
    <w:rsid w:val="00B41A95"/>
    <w:rsid w:val="00B41D96"/>
    <w:rsid w:val="00B42864"/>
    <w:rsid w:val="00B42B43"/>
    <w:rsid w:val="00B42BDE"/>
    <w:rsid w:val="00B43191"/>
    <w:rsid w:val="00B43484"/>
    <w:rsid w:val="00B43814"/>
    <w:rsid w:val="00B43A5A"/>
    <w:rsid w:val="00B451BF"/>
    <w:rsid w:val="00B45361"/>
    <w:rsid w:val="00B4655C"/>
    <w:rsid w:val="00B46BF1"/>
    <w:rsid w:val="00B4718A"/>
    <w:rsid w:val="00B47408"/>
    <w:rsid w:val="00B47A0C"/>
    <w:rsid w:val="00B47E34"/>
    <w:rsid w:val="00B50039"/>
    <w:rsid w:val="00B5018C"/>
    <w:rsid w:val="00B502BB"/>
    <w:rsid w:val="00B503DE"/>
    <w:rsid w:val="00B50A4F"/>
    <w:rsid w:val="00B510BE"/>
    <w:rsid w:val="00B511B3"/>
    <w:rsid w:val="00B5145B"/>
    <w:rsid w:val="00B51C8C"/>
    <w:rsid w:val="00B52006"/>
    <w:rsid w:val="00B524C8"/>
    <w:rsid w:val="00B52565"/>
    <w:rsid w:val="00B52606"/>
    <w:rsid w:val="00B52675"/>
    <w:rsid w:val="00B529F2"/>
    <w:rsid w:val="00B53906"/>
    <w:rsid w:val="00B54131"/>
    <w:rsid w:val="00B541A7"/>
    <w:rsid w:val="00B54379"/>
    <w:rsid w:val="00B5454A"/>
    <w:rsid w:val="00B54735"/>
    <w:rsid w:val="00B54A09"/>
    <w:rsid w:val="00B55613"/>
    <w:rsid w:val="00B55ECF"/>
    <w:rsid w:val="00B56108"/>
    <w:rsid w:val="00B56314"/>
    <w:rsid w:val="00B563C1"/>
    <w:rsid w:val="00B56C5C"/>
    <w:rsid w:val="00B56D49"/>
    <w:rsid w:val="00B57202"/>
    <w:rsid w:val="00B574C3"/>
    <w:rsid w:val="00B57EF1"/>
    <w:rsid w:val="00B6045C"/>
    <w:rsid w:val="00B607AA"/>
    <w:rsid w:val="00B609FD"/>
    <w:rsid w:val="00B60AD2"/>
    <w:rsid w:val="00B60DB8"/>
    <w:rsid w:val="00B60F70"/>
    <w:rsid w:val="00B611E9"/>
    <w:rsid w:val="00B612DD"/>
    <w:rsid w:val="00B61990"/>
    <w:rsid w:val="00B62129"/>
    <w:rsid w:val="00B623F1"/>
    <w:rsid w:val="00B6258A"/>
    <w:rsid w:val="00B63513"/>
    <w:rsid w:val="00B646AD"/>
    <w:rsid w:val="00B656EF"/>
    <w:rsid w:val="00B659D4"/>
    <w:rsid w:val="00B65B38"/>
    <w:rsid w:val="00B65F4A"/>
    <w:rsid w:val="00B65FB7"/>
    <w:rsid w:val="00B660DE"/>
    <w:rsid w:val="00B661CC"/>
    <w:rsid w:val="00B66C7C"/>
    <w:rsid w:val="00B67760"/>
    <w:rsid w:val="00B678B2"/>
    <w:rsid w:val="00B67AE3"/>
    <w:rsid w:val="00B67C77"/>
    <w:rsid w:val="00B67CFA"/>
    <w:rsid w:val="00B67EE4"/>
    <w:rsid w:val="00B70398"/>
    <w:rsid w:val="00B704BB"/>
    <w:rsid w:val="00B70547"/>
    <w:rsid w:val="00B70794"/>
    <w:rsid w:val="00B70D79"/>
    <w:rsid w:val="00B71BAB"/>
    <w:rsid w:val="00B71DBF"/>
    <w:rsid w:val="00B71F02"/>
    <w:rsid w:val="00B72790"/>
    <w:rsid w:val="00B7352A"/>
    <w:rsid w:val="00B735DB"/>
    <w:rsid w:val="00B73679"/>
    <w:rsid w:val="00B7395B"/>
    <w:rsid w:val="00B73B32"/>
    <w:rsid w:val="00B73FF7"/>
    <w:rsid w:val="00B74840"/>
    <w:rsid w:val="00B74923"/>
    <w:rsid w:val="00B74B40"/>
    <w:rsid w:val="00B74E06"/>
    <w:rsid w:val="00B7513D"/>
    <w:rsid w:val="00B7598F"/>
    <w:rsid w:val="00B759D2"/>
    <w:rsid w:val="00B75F41"/>
    <w:rsid w:val="00B760F8"/>
    <w:rsid w:val="00B7638F"/>
    <w:rsid w:val="00B7648A"/>
    <w:rsid w:val="00B764E8"/>
    <w:rsid w:val="00B765EF"/>
    <w:rsid w:val="00B76A09"/>
    <w:rsid w:val="00B76B10"/>
    <w:rsid w:val="00B76CFF"/>
    <w:rsid w:val="00B771FF"/>
    <w:rsid w:val="00B77651"/>
    <w:rsid w:val="00B80010"/>
    <w:rsid w:val="00B80DCA"/>
    <w:rsid w:val="00B80DD5"/>
    <w:rsid w:val="00B81206"/>
    <w:rsid w:val="00B815AC"/>
    <w:rsid w:val="00B8257F"/>
    <w:rsid w:val="00B82727"/>
    <w:rsid w:val="00B82B31"/>
    <w:rsid w:val="00B82BFB"/>
    <w:rsid w:val="00B82E2A"/>
    <w:rsid w:val="00B8321C"/>
    <w:rsid w:val="00B8326B"/>
    <w:rsid w:val="00B83A88"/>
    <w:rsid w:val="00B83CF0"/>
    <w:rsid w:val="00B8401C"/>
    <w:rsid w:val="00B84CDB"/>
    <w:rsid w:val="00B84F8F"/>
    <w:rsid w:val="00B851BF"/>
    <w:rsid w:val="00B85ADD"/>
    <w:rsid w:val="00B85B01"/>
    <w:rsid w:val="00B85E19"/>
    <w:rsid w:val="00B86277"/>
    <w:rsid w:val="00B862A8"/>
    <w:rsid w:val="00B86C87"/>
    <w:rsid w:val="00B87B59"/>
    <w:rsid w:val="00B908FA"/>
    <w:rsid w:val="00B91384"/>
    <w:rsid w:val="00B917C7"/>
    <w:rsid w:val="00B918F6"/>
    <w:rsid w:val="00B91C3A"/>
    <w:rsid w:val="00B9251C"/>
    <w:rsid w:val="00B92615"/>
    <w:rsid w:val="00B9263E"/>
    <w:rsid w:val="00B92A9D"/>
    <w:rsid w:val="00B92DD6"/>
    <w:rsid w:val="00B92E7D"/>
    <w:rsid w:val="00B93493"/>
    <w:rsid w:val="00B936F7"/>
    <w:rsid w:val="00B938CC"/>
    <w:rsid w:val="00B93CAB"/>
    <w:rsid w:val="00B93E7F"/>
    <w:rsid w:val="00B9450C"/>
    <w:rsid w:val="00B94779"/>
    <w:rsid w:val="00B95080"/>
    <w:rsid w:val="00B9580B"/>
    <w:rsid w:val="00B95B1D"/>
    <w:rsid w:val="00B96014"/>
    <w:rsid w:val="00B96394"/>
    <w:rsid w:val="00B9682E"/>
    <w:rsid w:val="00B96F16"/>
    <w:rsid w:val="00B973DE"/>
    <w:rsid w:val="00B97623"/>
    <w:rsid w:val="00B97926"/>
    <w:rsid w:val="00B97A2F"/>
    <w:rsid w:val="00B97B97"/>
    <w:rsid w:val="00BA0916"/>
    <w:rsid w:val="00BA0983"/>
    <w:rsid w:val="00BA113C"/>
    <w:rsid w:val="00BA1199"/>
    <w:rsid w:val="00BA1389"/>
    <w:rsid w:val="00BA1A5D"/>
    <w:rsid w:val="00BA1D47"/>
    <w:rsid w:val="00BA1E5B"/>
    <w:rsid w:val="00BA1F51"/>
    <w:rsid w:val="00BA242B"/>
    <w:rsid w:val="00BA2515"/>
    <w:rsid w:val="00BA3649"/>
    <w:rsid w:val="00BA3739"/>
    <w:rsid w:val="00BA37D6"/>
    <w:rsid w:val="00BA6071"/>
    <w:rsid w:val="00BA6349"/>
    <w:rsid w:val="00BA66E7"/>
    <w:rsid w:val="00BA6890"/>
    <w:rsid w:val="00BA6BBA"/>
    <w:rsid w:val="00BA6EB3"/>
    <w:rsid w:val="00BA7181"/>
    <w:rsid w:val="00BA72D2"/>
    <w:rsid w:val="00BA7415"/>
    <w:rsid w:val="00BA7C74"/>
    <w:rsid w:val="00BA7F15"/>
    <w:rsid w:val="00BA7F93"/>
    <w:rsid w:val="00BB00F8"/>
    <w:rsid w:val="00BB024A"/>
    <w:rsid w:val="00BB02FD"/>
    <w:rsid w:val="00BB0704"/>
    <w:rsid w:val="00BB10AF"/>
    <w:rsid w:val="00BB1204"/>
    <w:rsid w:val="00BB1293"/>
    <w:rsid w:val="00BB17CE"/>
    <w:rsid w:val="00BB1BFC"/>
    <w:rsid w:val="00BB1DC0"/>
    <w:rsid w:val="00BB1DD7"/>
    <w:rsid w:val="00BB2170"/>
    <w:rsid w:val="00BB35B7"/>
    <w:rsid w:val="00BB35EF"/>
    <w:rsid w:val="00BB3668"/>
    <w:rsid w:val="00BB38F3"/>
    <w:rsid w:val="00BB394D"/>
    <w:rsid w:val="00BB3CEE"/>
    <w:rsid w:val="00BB449A"/>
    <w:rsid w:val="00BB4689"/>
    <w:rsid w:val="00BB4E9F"/>
    <w:rsid w:val="00BB5362"/>
    <w:rsid w:val="00BB58E7"/>
    <w:rsid w:val="00BB6B99"/>
    <w:rsid w:val="00BB6DCA"/>
    <w:rsid w:val="00BB6DF7"/>
    <w:rsid w:val="00BB706B"/>
    <w:rsid w:val="00BB7170"/>
    <w:rsid w:val="00BB783B"/>
    <w:rsid w:val="00BB7FBA"/>
    <w:rsid w:val="00BC04E9"/>
    <w:rsid w:val="00BC08E2"/>
    <w:rsid w:val="00BC196C"/>
    <w:rsid w:val="00BC1CBC"/>
    <w:rsid w:val="00BC1E57"/>
    <w:rsid w:val="00BC1E62"/>
    <w:rsid w:val="00BC2773"/>
    <w:rsid w:val="00BC2E20"/>
    <w:rsid w:val="00BC326A"/>
    <w:rsid w:val="00BC34E4"/>
    <w:rsid w:val="00BC3802"/>
    <w:rsid w:val="00BC394E"/>
    <w:rsid w:val="00BC3AF4"/>
    <w:rsid w:val="00BC3D43"/>
    <w:rsid w:val="00BC3F25"/>
    <w:rsid w:val="00BC3FEC"/>
    <w:rsid w:val="00BC409C"/>
    <w:rsid w:val="00BC47C2"/>
    <w:rsid w:val="00BC553D"/>
    <w:rsid w:val="00BC5877"/>
    <w:rsid w:val="00BC5E18"/>
    <w:rsid w:val="00BC68E7"/>
    <w:rsid w:val="00BC6A31"/>
    <w:rsid w:val="00BC7469"/>
    <w:rsid w:val="00BC7546"/>
    <w:rsid w:val="00BC7771"/>
    <w:rsid w:val="00BC7AA7"/>
    <w:rsid w:val="00BD062A"/>
    <w:rsid w:val="00BD0864"/>
    <w:rsid w:val="00BD09B8"/>
    <w:rsid w:val="00BD175C"/>
    <w:rsid w:val="00BD17DE"/>
    <w:rsid w:val="00BD1927"/>
    <w:rsid w:val="00BD1F7E"/>
    <w:rsid w:val="00BD23DD"/>
    <w:rsid w:val="00BD31E0"/>
    <w:rsid w:val="00BD342C"/>
    <w:rsid w:val="00BD34BF"/>
    <w:rsid w:val="00BD3526"/>
    <w:rsid w:val="00BD37D8"/>
    <w:rsid w:val="00BD387C"/>
    <w:rsid w:val="00BD3B53"/>
    <w:rsid w:val="00BD3E3A"/>
    <w:rsid w:val="00BD40CF"/>
    <w:rsid w:val="00BD40F8"/>
    <w:rsid w:val="00BD46C0"/>
    <w:rsid w:val="00BD4BCB"/>
    <w:rsid w:val="00BD4E0D"/>
    <w:rsid w:val="00BD6537"/>
    <w:rsid w:val="00BD7886"/>
    <w:rsid w:val="00BD7BAF"/>
    <w:rsid w:val="00BD7D47"/>
    <w:rsid w:val="00BE0777"/>
    <w:rsid w:val="00BE129E"/>
    <w:rsid w:val="00BE1498"/>
    <w:rsid w:val="00BE168D"/>
    <w:rsid w:val="00BE1785"/>
    <w:rsid w:val="00BE1CD9"/>
    <w:rsid w:val="00BE1EEB"/>
    <w:rsid w:val="00BE1F60"/>
    <w:rsid w:val="00BE2259"/>
    <w:rsid w:val="00BE33C2"/>
    <w:rsid w:val="00BE3D05"/>
    <w:rsid w:val="00BE432D"/>
    <w:rsid w:val="00BE43F2"/>
    <w:rsid w:val="00BE484D"/>
    <w:rsid w:val="00BE4C89"/>
    <w:rsid w:val="00BE4CC7"/>
    <w:rsid w:val="00BE4F42"/>
    <w:rsid w:val="00BE51EF"/>
    <w:rsid w:val="00BE5D80"/>
    <w:rsid w:val="00BE5E22"/>
    <w:rsid w:val="00BE5E59"/>
    <w:rsid w:val="00BE662C"/>
    <w:rsid w:val="00BE66B0"/>
    <w:rsid w:val="00BE703E"/>
    <w:rsid w:val="00BE7BCE"/>
    <w:rsid w:val="00BE7E7F"/>
    <w:rsid w:val="00BF044B"/>
    <w:rsid w:val="00BF0609"/>
    <w:rsid w:val="00BF063B"/>
    <w:rsid w:val="00BF0D61"/>
    <w:rsid w:val="00BF0DF7"/>
    <w:rsid w:val="00BF168D"/>
    <w:rsid w:val="00BF17C0"/>
    <w:rsid w:val="00BF1CBC"/>
    <w:rsid w:val="00BF29A8"/>
    <w:rsid w:val="00BF3106"/>
    <w:rsid w:val="00BF3170"/>
    <w:rsid w:val="00BF3277"/>
    <w:rsid w:val="00BF3D99"/>
    <w:rsid w:val="00BF4B2E"/>
    <w:rsid w:val="00BF4B8F"/>
    <w:rsid w:val="00BF4BA4"/>
    <w:rsid w:val="00BF4C9C"/>
    <w:rsid w:val="00BF4E0C"/>
    <w:rsid w:val="00BF4FA6"/>
    <w:rsid w:val="00BF50AF"/>
    <w:rsid w:val="00BF55EC"/>
    <w:rsid w:val="00BF57C1"/>
    <w:rsid w:val="00BF5BD6"/>
    <w:rsid w:val="00BF5E7E"/>
    <w:rsid w:val="00BF5F3B"/>
    <w:rsid w:val="00BF63D0"/>
    <w:rsid w:val="00BF7330"/>
    <w:rsid w:val="00BF73C5"/>
    <w:rsid w:val="00BF76D1"/>
    <w:rsid w:val="00BF79CC"/>
    <w:rsid w:val="00C002F7"/>
    <w:rsid w:val="00C00608"/>
    <w:rsid w:val="00C00D3B"/>
    <w:rsid w:val="00C00EE1"/>
    <w:rsid w:val="00C013BF"/>
    <w:rsid w:val="00C015B3"/>
    <w:rsid w:val="00C01AD1"/>
    <w:rsid w:val="00C01F0D"/>
    <w:rsid w:val="00C02588"/>
    <w:rsid w:val="00C028B1"/>
    <w:rsid w:val="00C02AFD"/>
    <w:rsid w:val="00C02EA2"/>
    <w:rsid w:val="00C02ED9"/>
    <w:rsid w:val="00C02EE9"/>
    <w:rsid w:val="00C03228"/>
    <w:rsid w:val="00C03504"/>
    <w:rsid w:val="00C035EC"/>
    <w:rsid w:val="00C03A28"/>
    <w:rsid w:val="00C03A82"/>
    <w:rsid w:val="00C03AB1"/>
    <w:rsid w:val="00C03C47"/>
    <w:rsid w:val="00C03CE2"/>
    <w:rsid w:val="00C03E1E"/>
    <w:rsid w:val="00C03F02"/>
    <w:rsid w:val="00C043E5"/>
    <w:rsid w:val="00C04415"/>
    <w:rsid w:val="00C051C4"/>
    <w:rsid w:val="00C0653E"/>
    <w:rsid w:val="00C06639"/>
    <w:rsid w:val="00C067CE"/>
    <w:rsid w:val="00C06F96"/>
    <w:rsid w:val="00C07C88"/>
    <w:rsid w:val="00C1030B"/>
    <w:rsid w:val="00C10583"/>
    <w:rsid w:val="00C107AE"/>
    <w:rsid w:val="00C10A59"/>
    <w:rsid w:val="00C11502"/>
    <w:rsid w:val="00C11941"/>
    <w:rsid w:val="00C11C7C"/>
    <w:rsid w:val="00C12437"/>
    <w:rsid w:val="00C128C3"/>
    <w:rsid w:val="00C1296C"/>
    <w:rsid w:val="00C12C29"/>
    <w:rsid w:val="00C12CCE"/>
    <w:rsid w:val="00C12D65"/>
    <w:rsid w:val="00C12DDE"/>
    <w:rsid w:val="00C131A2"/>
    <w:rsid w:val="00C131BB"/>
    <w:rsid w:val="00C135D0"/>
    <w:rsid w:val="00C13E34"/>
    <w:rsid w:val="00C13EE4"/>
    <w:rsid w:val="00C1455C"/>
    <w:rsid w:val="00C14FB1"/>
    <w:rsid w:val="00C153F8"/>
    <w:rsid w:val="00C15675"/>
    <w:rsid w:val="00C15763"/>
    <w:rsid w:val="00C15D30"/>
    <w:rsid w:val="00C16208"/>
    <w:rsid w:val="00C164C3"/>
    <w:rsid w:val="00C1655E"/>
    <w:rsid w:val="00C1663C"/>
    <w:rsid w:val="00C16827"/>
    <w:rsid w:val="00C1701D"/>
    <w:rsid w:val="00C1726E"/>
    <w:rsid w:val="00C176F1"/>
    <w:rsid w:val="00C177CF"/>
    <w:rsid w:val="00C17932"/>
    <w:rsid w:val="00C17A6F"/>
    <w:rsid w:val="00C17A92"/>
    <w:rsid w:val="00C17E03"/>
    <w:rsid w:val="00C2025A"/>
    <w:rsid w:val="00C20268"/>
    <w:rsid w:val="00C2050A"/>
    <w:rsid w:val="00C2056D"/>
    <w:rsid w:val="00C21549"/>
    <w:rsid w:val="00C21740"/>
    <w:rsid w:val="00C218A6"/>
    <w:rsid w:val="00C218C4"/>
    <w:rsid w:val="00C21CB4"/>
    <w:rsid w:val="00C21FF7"/>
    <w:rsid w:val="00C22085"/>
    <w:rsid w:val="00C22577"/>
    <w:rsid w:val="00C22D9B"/>
    <w:rsid w:val="00C23BCB"/>
    <w:rsid w:val="00C23F48"/>
    <w:rsid w:val="00C24258"/>
    <w:rsid w:val="00C24577"/>
    <w:rsid w:val="00C24678"/>
    <w:rsid w:val="00C24836"/>
    <w:rsid w:val="00C25104"/>
    <w:rsid w:val="00C25545"/>
    <w:rsid w:val="00C25C14"/>
    <w:rsid w:val="00C25D79"/>
    <w:rsid w:val="00C25DF7"/>
    <w:rsid w:val="00C26044"/>
    <w:rsid w:val="00C2633D"/>
    <w:rsid w:val="00C2646C"/>
    <w:rsid w:val="00C27037"/>
    <w:rsid w:val="00C27306"/>
    <w:rsid w:val="00C279F1"/>
    <w:rsid w:val="00C27A11"/>
    <w:rsid w:val="00C27B9B"/>
    <w:rsid w:val="00C30097"/>
    <w:rsid w:val="00C302A3"/>
    <w:rsid w:val="00C30983"/>
    <w:rsid w:val="00C30DFD"/>
    <w:rsid w:val="00C30F8E"/>
    <w:rsid w:val="00C30F9B"/>
    <w:rsid w:val="00C3194F"/>
    <w:rsid w:val="00C31A33"/>
    <w:rsid w:val="00C31A34"/>
    <w:rsid w:val="00C31E79"/>
    <w:rsid w:val="00C32517"/>
    <w:rsid w:val="00C33103"/>
    <w:rsid w:val="00C33444"/>
    <w:rsid w:val="00C33501"/>
    <w:rsid w:val="00C33511"/>
    <w:rsid w:val="00C338C9"/>
    <w:rsid w:val="00C33D63"/>
    <w:rsid w:val="00C3423A"/>
    <w:rsid w:val="00C34285"/>
    <w:rsid w:val="00C34A2A"/>
    <w:rsid w:val="00C34A56"/>
    <w:rsid w:val="00C34A96"/>
    <w:rsid w:val="00C34CD0"/>
    <w:rsid w:val="00C34DDE"/>
    <w:rsid w:val="00C35687"/>
    <w:rsid w:val="00C35805"/>
    <w:rsid w:val="00C35B2D"/>
    <w:rsid w:val="00C35C64"/>
    <w:rsid w:val="00C36759"/>
    <w:rsid w:val="00C36B40"/>
    <w:rsid w:val="00C36D1B"/>
    <w:rsid w:val="00C36D93"/>
    <w:rsid w:val="00C371F5"/>
    <w:rsid w:val="00C37A9F"/>
    <w:rsid w:val="00C37C99"/>
    <w:rsid w:val="00C40206"/>
    <w:rsid w:val="00C40915"/>
    <w:rsid w:val="00C40B21"/>
    <w:rsid w:val="00C40BE3"/>
    <w:rsid w:val="00C40BFD"/>
    <w:rsid w:val="00C4134D"/>
    <w:rsid w:val="00C419DC"/>
    <w:rsid w:val="00C41D0E"/>
    <w:rsid w:val="00C41D3D"/>
    <w:rsid w:val="00C42157"/>
    <w:rsid w:val="00C430FA"/>
    <w:rsid w:val="00C4372A"/>
    <w:rsid w:val="00C43A41"/>
    <w:rsid w:val="00C43BEA"/>
    <w:rsid w:val="00C43F7A"/>
    <w:rsid w:val="00C4427D"/>
    <w:rsid w:val="00C4484A"/>
    <w:rsid w:val="00C44875"/>
    <w:rsid w:val="00C4498B"/>
    <w:rsid w:val="00C44ACF"/>
    <w:rsid w:val="00C4525C"/>
    <w:rsid w:val="00C45AEA"/>
    <w:rsid w:val="00C46798"/>
    <w:rsid w:val="00C46B79"/>
    <w:rsid w:val="00C46C8D"/>
    <w:rsid w:val="00C4722A"/>
    <w:rsid w:val="00C47681"/>
    <w:rsid w:val="00C476C3"/>
    <w:rsid w:val="00C47964"/>
    <w:rsid w:val="00C47D65"/>
    <w:rsid w:val="00C504DD"/>
    <w:rsid w:val="00C50531"/>
    <w:rsid w:val="00C505AB"/>
    <w:rsid w:val="00C50BDF"/>
    <w:rsid w:val="00C516A9"/>
    <w:rsid w:val="00C517A3"/>
    <w:rsid w:val="00C5228D"/>
    <w:rsid w:val="00C522BC"/>
    <w:rsid w:val="00C52A81"/>
    <w:rsid w:val="00C53003"/>
    <w:rsid w:val="00C53061"/>
    <w:rsid w:val="00C5427A"/>
    <w:rsid w:val="00C5430C"/>
    <w:rsid w:val="00C5578D"/>
    <w:rsid w:val="00C55FA0"/>
    <w:rsid w:val="00C56316"/>
    <w:rsid w:val="00C5639A"/>
    <w:rsid w:val="00C563D9"/>
    <w:rsid w:val="00C56A3E"/>
    <w:rsid w:val="00C56E49"/>
    <w:rsid w:val="00C576D7"/>
    <w:rsid w:val="00C57736"/>
    <w:rsid w:val="00C57760"/>
    <w:rsid w:val="00C57850"/>
    <w:rsid w:val="00C578CF"/>
    <w:rsid w:val="00C60280"/>
    <w:rsid w:val="00C60935"/>
    <w:rsid w:val="00C612D5"/>
    <w:rsid w:val="00C6134C"/>
    <w:rsid w:val="00C62483"/>
    <w:rsid w:val="00C62890"/>
    <w:rsid w:val="00C62CD9"/>
    <w:rsid w:val="00C62FA8"/>
    <w:rsid w:val="00C63330"/>
    <w:rsid w:val="00C63367"/>
    <w:rsid w:val="00C6343F"/>
    <w:rsid w:val="00C6364B"/>
    <w:rsid w:val="00C6380A"/>
    <w:rsid w:val="00C638CD"/>
    <w:rsid w:val="00C6532E"/>
    <w:rsid w:val="00C65757"/>
    <w:rsid w:val="00C657A9"/>
    <w:rsid w:val="00C65B91"/>
    <w:rsid w:val="00C6601C"/>
    <w:rsid w:val="00C66988"/>
    <w:rsid w:val="00C66B3B"/>
    <w:rsid w:val="00C675C3"/>
    <w:rsid w:val="00C677D5"/>
    <w:rsid w:val="00C67B6A"/>
    <w:rsid w:val="00C67FB8"/>
    <w:rsid w:val="00C701C9"/>
    <w:rsid w:val="00C70306"/>
    <w:rsid w:val="00C70550"/>
    <w:rsid w:val="00C7095A"/>
    <w:rsid w:val="00C70977"/>
    <w:rsid w:val="00C709DC"/>
    <w:rsid w:val="00C70C66"/>
    <w:rsid w:val="00C70D41"/>
    <w:rsid w:val="00C713CD"/>
    <w:rsid w:val="00C71ACD"/>
    <w:rsid w:val="00C71B61"/>
    <w:rsid w:val="00C71F25"/>
    <w:rsid w:val="00C72434"/>
    <w:rsid w:val="00C7288D"/>
    <w:rsid w:val="00C72978"/>
    <w:rsid w:val="00C731E8"/>
    <w:rsid w:val="00C73316"/>
    <w:rsid w:val="00C733BB"/>
    <w:rsid w:val="00C736E6"/>
    <w:rsid w:val="00C74821"/>
    <w:rsid w:val="00C74AA6"/>
    <w:rsid w:val="00C74D70"/>
    <w:rsid w:val="00C75070"/>
    <w:rsid w:val="00C756BF"/>
    <w:rsid w:val="00C7580C"/>
    <w:rsid w:val="00C75A16"/>
    <w:rsid w:val="00C75B61"/>
    <w:rsid w:val="00C75F61"/>
    <w:rsid w:val="00C75FDD"/>
    <w:rsid w:val="00C76680"/>
    <w:rsid w:val="00C771B4"/>
    <w:rsid w:val="00C77824"/>
    <w:rsid w:val="00C77DB8"/>
    <w:rsid w:val="00C77E8D"/>
    <w:rsid w:val="00C77FB9"/>
    <w:rsid w:val="00C80588"/>
    <w:rsid w:val="00C80654"/>
    <w:rsid w:val="00C80712"/>
    <w:rsid w:val="00C8073B"/>
    <w:rsid w:val="00C80D2B"/>
    <w:rsid w:val="00C80D9B"/>
    <w:rsid w:val="00C81045"/>
    <w:rsid w:val="00C81120"/>
    <w:rsid w:val="00C815A3"/>
    <w:rsid w:val="00C81879"/>
    <w:rsid w:val="00C8197A"/>
    <w:rsid w:val="00C81B74"/>
    <w:rsid w:val="00C81D65"/>
    <w:rsid w:val="00C8358D"/>
    <w:rsid w:val="00C8374A"/>
    <w:rsid w:val="00C83E1C"/>
    <w:rsid w:val="00C8416E"/>
    <w:rsid w:val="00C85347"/>
    <w:rsid w:val="00C85AB4"/>
    <w:rsid w:val="00C85BB2"/>
    <w:rsid w:val="00C85C38"/>
    <w:rsid w:val="00C85E9F"/>
    <w:rsid w:val="00C86035"/>
    <w:rsid w:val="00C861FD"/>
    <w:rsid w:val="00C867F3"/>
    <w:rsid w:val="00C868BE"/>
    <w:rsid w:val="00C86BF5"/>
    <w:rsid w:val="00C86DCE"/>
    <w:rsid w:val="00C87508"/>
    <w:rsid w:val="00C879B6"/>
    <w:rsid w:val="00C87B77"/>
    <w:rsid w:val="00C9080A"/>
    <w:rsid w:val="00C908B2"/>
    <w:rsid w:val="00C908C0"/>
    <w:rsid w:val="00C911E6"/>
    <w:rsid w:val="00C91365"/>
    <w:rsid w:val="00C91475"/>
    <w:rsid w:val="00C914D9"/>
    <w:rsid w:val="00C9171B"/>
    <w:rsid w:val="00C91B20"/>
    <w:rsid w:val="00C934F5"/>
    <w:rsid w:val="00C95159"/>
    <w:rsid w:val="00C95249"/>
    <w:rsid w:val="00C953E9"/>
    <w:rsid w:val="00C9564E"/>
    <w:rsid w:val="00C95671"/>
    <w:rsid w:val="00C9586B"/>
    <w:rsid w:val="00C95AF6"/>
    <w:rsid w:val="00C95CAB"/>
    <w:rsid w:val="00C95D32"/>
    <w:rsid w:val="00C96399"/>
    <w:rsid w:val="00C96E5D"/>
    <w:rsid w:val="00C977A9"/>
    <w:rsid w:val="00C97A0D"/>
    <w:rsid w:val="00C97AE6"/>
    <w:rsid w:val="00C97D23"/>
    <w:rsid w:val="00C97DE5"/>
    <w:rsid w:val="00CA0972"/>
    <w:rsid w:val="00CA0B12"/>
    <w:rsid w:val="00CA1080"/>
    <w:rsid w:val="00CA1AAB"/>
    <w:rsid w:val="00CA2013"/>
    <w:rsid w:val="00CA20B3"/>
    <w:rsid w:val="00CA2456"/>
    <w:rsid w:val="00CA2E38"/>
    <w:rsid w:val="00CA36F6"/>
    <w:rsid w:val="00CA380D"/>
    <w:rsid w:val="00CA3957"/>
    <w:rsid w:val="00CA3B6E"/>
    <w:rsid w:val="00CA45E3"/>
    <w:rsid w:val="00CA4AA2"/>
    <w:rsid w:val="00CA4B18"/>
    <w:rsid w:val="00CA4B1F"/>
    <w:rsid w:val="00CA5507"/>
    <w:rsid w:val="00CA59F3"/>
    <w:rsid w:val="00CA5A31"/>
    <w:rsid w:val="00CA610F"/>
    <w:rsid w:val="00CA673A"/>
    <w:rsid w:val="00CA6C75"/>
    <w:rsid w:val="00CA6D54"/>
    <w:rsid w:val="00CA70F7"/>
    <w:rsid w:val="00CA7168"/>
    <w:rsid w:val="00CA7607"/>
    <w:rsid w:val="00CA7DA6"/>
    <w:rsid w:val="00CB014E"/>
    <w:rsid w:val="00CB02BB"/>
    <w:rsid w:val="00CB08E1"/>
    <w:rsid w:val="00CB0902"/>
    <w:rsid w:val="00CB11A7"/>
    <w:rsid w:val="00CB1D26"/>
    <w:rsid w:val="00CB251C"/>
    <w:rsid w:val="00CB2D3B"/>
    <w:rsid w:val="00CB2D97"/>
    <w:rsid w:val="00CB2E38"/>
    <w:rsid w:val="00CB318F"/>
    <w:rsid w:val="00CB31A4"/>
    <w:rsid w:val="00CB3209"/>
    <w:rsid w:val="00CB32CF"/>
    <w:rsid w:val="00CB420B"/>
    <w:rsid w:val="00CB43F1"/>
    <w:rsid w:val="00CB4730"/>
    <w:rsid w:val="00CB4EAD"/>
    <w:rsid w:val="00CB5810"/>
    <w:rsid w:val="00CB6FB6"/>
    <w:rsid w:val="00CB74D1"/>
    <w:rsid w:val="00CB7999"/>
    <w:rsid w:val="00CB7C27"/>
    <w:rsid w:val="00CB7D24"/>
    <w:rsid w:val="00CB7E24"/>
    <w:rsid w:val="00CC08D8"/>
    <w:rsid w:val="00CC08FD"/>
    <w:rsid w:val="00CC0BFA"/>
    <w:rsid w:val="00CC14AF"/>
    <w:rsid w:val="00CC1640"/>
    <w:rsid w:val="00CC1794"/>
    <w:rsid w:val="00CC220D"/>
    <w:rsid w:val="00CC24CF"/>
    <w:rsid w:val="00CC2519"/>
    <w:rsid w:val="00CC287A"/>
    <w:rsid w:val="00CC2E60"/>
    <w:rsid w:val="00CC3906"/>
    <w:rsid w:val="00CC3F39"/>
    <w:rsid w:val="00CC3FA1"/>
    <w:rsid w:val="00CC447D"/>
    <w:rsid w:val="00CC4748"/>
    <w:rsid w:val="00CC47BD"/>
    <w:rsid w:val="00CC4838"/>
    <w:rsid w:val="00CC4CE1"/>
    <w:rsid w:val="00CC4E09"/>
    <w:rsid w:val="00CC4FB8"/>
    <w:rsid w:val="00CC5026"/>
    <w:rsid w:val="00CC5BFC"/>
    <w:rsid w:val="00CC6161"/>
    <w:rsid w:val="00CC64F4"/>
    <w:rsid w:val="00CC6681"/>
    <w:rsid w:val="00CC7489"/>
    <w:rsid w:val="00CC7888"/>
    <w:rsid w:val="00CD0043"/>
    <w:rsid w:val="00CD0212"/>
    <w:rsid w:val="00CD02D2"/>
    <w:rsid w:val="00CD02F0"/>
    <w:rsid w:val="00CD0332"/>
    <w:rsid w:val="00CD110B"/>
    <w:rsid w:val="00CD1765"/>
    <w:rsid w:val="00CD17F0"/>
    <w:rsid w:val="00CD1937"/>
    <w:rsid w:val="00CD1975"/>
    <w:rsid w:val="00CD1EDD"/>
    <w:rsid w:val="00CD1FA5"/>
    <w:rsid w:val="00CD20D5"/>
    <w:rsid w:val="00CD273A"/>
    <w:rsid w:val="00CD27E4"/>
    <w:rsid w:val="00CD2F11"/>
    <w:rsid w:val="00CD4126"/>
    <w:rsid w:val="00CD4214"/>
    <w:rsid w:val="00CD4464"/>
    <w:rsid w:val="00CD45BD"/>
    <w:rsid w:val="00CD495D"/>
    <w:rsid w:val="00CD4E6B"/>
    <w:rsid w:val="00CD4F7F"/>
    <w:rsid w:val="00CD57FD"/>
    <w:rsid w:val="00CD5879"/>
    <w:rsid w:val="00CD6059"/>
    <w:rsid w:val="00CD619C"/>
    <w:rsid w:val="00CD63A5"/>
    <w:rsid w:val="00CD64AD"/>
    <w:rsid w:val="00CD6D9B"/>
    <w:rsid w:val="00CD6EC5"/>
    <w:rsid w:val="00CD7220"/>
    <w:rsid w:val="00CD761C"/>
    <w:rsid w:val="00CD7DEB"/>
    <w:rsid w:val="00CE0956"/>
    <w:rsid w:val="00CE0AAE"/>
    <w:rsid w:val="00CE0FB5"/>
    <w:rsid w:val="00CE10F5"/>
    <w:rsid w:val="00CE1350"/>
    <w:rsid w:val="00CE1681"/>
    <w:rsid w:val="00CE18A4"/>
    <w:rsid w:val="00CE1F64"/>
    <w:rsid w:val="00CE1FE6"/>
    <w:rsid w:val="00CE3304"/>
    <w:rsid w:val="00CE3451"/>
    <w:rsid w:val="00CE466B"/>
    <w:rsid w:val="00CE4DB1"/>
    <w:rsid w:val="00CE513E"/>
    <w:rsid w:val="00CE5194"/>
    <w:rsid w:val="00CE5280"/>
    <w:rsid w:val="00CE577B"/>
    <w:rsid w:val="00CE5CA7"/>
    <w:rsid w:val="00CE5F38"/>
    <w:rsid w:val="00CE6685"/>
    <w:rsid w:val="00CE692D"/>
    <w:rsid w:val="00CE74FE"/>
    <w:rsid w:val="00CE76C2"/>
    <w:rsid w:val="00CE77A4"/>
    <w:rsid w:val="00CE7FE6"/>
    <w:rsid w:val="00CF099E"/>
    <w:rsid w:val="00CF0B3D"/>
    <w:rsid w:val="00CF1784"/>
    <w:rsid w:val="00CF1814"/>
    <w:rsid w:val="00CF1CC0"/>
    <w:rsid w:val="00CF1D60"/>
    <w:rsid w:val="00CF1FCA"/>
    <w:rsid w:val="00CF2209"/>
    <w:rsid w:val="00CF2431"/>
    <w:rsid w:val="00CF262B"/>
    <w:rsid w:val="00CF268B"/>
    <w:rsid w:val="00CF27B3"/>
    <w:rsid w:val="00CF2B74"/>
    <w:rsid w:val="00CF37B7"/>
    <w:rsid w:val="00CF37E0"/>
    <w:rsid w:val="00CF3BFC"/>
    <w:rsid w:val="00CF44A6"/>
    <w:rsid w:val="00CF451B"/>
    <w:rsid w:val="00CF51A2"/>
    <w:rsid w:val="00CF54A7"/>
    <w:rsid w:val="00CF5978"/>
    <w:rsid w:val="00CF5A45"/>
    <w:rsid w:val="00CF5BD4"/>
    <w:rsid w:val="00CF625C"/>
    <w:rsid w:val="00CF6A4E"/>
    <w:rsid w:val="00CF739F"/>
    <w:rsid w:val="00CF7999"/>
    <w:rsid w:val="00D00229"/>
    <w:rsid w:val="00D003F0"/>
    <w:rsid w:val="00D00A27"/>
    <w:rsid w:val="00D00C81"/>
    <w:rsid w:val="00D01004"/>
    <w:rsid w:val="00D01753"/>
    <w:rsid w:val="00D01D63"/>
    <w:rsid w:val="00D01E54"/>
    <w:rsid w:val="00D0255E"/>
    <w:rsid w:val="00D02BE1"/>
    <w:rsid w:val="00D02D03"/>
    <w:rsid w:val="00D04007"/>
    <w:rsid w:val="00D045FB"/>
    <w:rsid w:val="00D048C3"/>
    <w:rsid w:val="00D04F73"/>
    <w:rsid w:val="00D05405"/>
    <w:rsid w:val="00D05925"/>
    <w:rsid w:val="00D05E70"/>
    <w:rsid w:val="00D0652F"/>
    <w:rsid w:val="00D06888"/>
    <w:rsid w:val="00D06A3C"/>
    <w:rsid w:val="00D06CA4"/>
    <w:rsid w:val="00D06D79"/>
    <w:rsid w:val="00D06FA5"/>
    <w:rsid w:val="00D07208"/>
    <w:rsid w:val="00D07371"/>
    <w:rsid w:val="00D07496"/>
    <w:rsid w:val="00D074FB"/>
    <w:rsid w:val="00D07526"/>
    <w:rsid w:val="00D07664"/>
    <w:rsid w:val="00D07D88"/>
    <w:rsid w:val="00D07F33"/>
    <w:rsid w:val="00D103E6"/>
    <w:rsid w:val="00D107DF"/>
    <w:rsid w:val="00D10C1A"/>
    <w:rsid w:val="00D10D95"/>
    <w:rsid w:val="00D115B5"/>
    <w:rsid w:val="00D1174A"/>
    <w:rsid w:val="00D128B9"/>
    <w:rsid w:val="00D13EAB"/>
    <w:rsid w:val="00D14A86"/>
    <w:rsid w:val="00D14B67"/>
    <w:rsid w:val="00D1506F"/>
    <w:rsid w:val="00D15C91"/>
    <w:rsid w:val="00D16177"/>
    <w:rsid w:val="00D16276"/>
    <w:rsid w:val="00D164FF"/>
    <w:rsid w:val="00D16624"/>
    <w:rsid w:val="00D16A5B"/>
    <w:rsid w:val="00D16AE1"/>
    <w:rsid w:val="00D16C87"/>
    <w:rsid w:val="00D17044"/>
    <w:rsid w:val="00D171CE"/>
    <w:rsid w:val="00D172AB"/>
    <w:rsid w:val="00D17404"/>
    <w:rsid w:val="00D1766C"/>
    <w:rsid w:val="00D17896"/>
    <w:rsid w:val="00D17C61"/>
    <w:rsid w:val="00D17F3A"/>
    <w:rsid w:val="00D20469"/>
    <w:rsid w:val="00D20559"/>
    <w:rsid w:val="00D20BFA"/>
    <w:rsid w:val="00D2129B"/>
    <w:rsid w:val="00D213FA"/>
    <w:rsid w:val="00D2187F"/>
    <w:rsid w:val="00D21C49"/>
    <w:rsid w:val="00D228A3"/>
    <w:rsid w:val="00D22A96"/>
    <w:rsid w:val="00D22F8B"/>
    <w:rsid w:val="00D24F02"/>
    <w:rsid w:val="00D2531C"/>
    <w:rsid w:val="00D25369"/>
    <w:rsid w:val="00D257E9"/>
    <w:rsid w:val="00D2618B"/>
    <w:rsid w:val="00D2625A"/>
    <w:rsid w:val="00D265D4"/>
    <w:rsid w:val="00D27663"/>
    <w:rsid w:val="00D278B6"/>
    <w:rsid w:val="00D27CD3"/>
    <w:rsid w:val="00D27F4D"/>
    <w:rsid w:val="00D27FEF"/>
    <w:rsid w:val="00D27FFC"/>
    <w:rsid w:val="00D30985"/>
    <w:rsid w:val="00D30A0E"/>
    <w:rsid w:val="00D30D47"/>
    <w:rsid w:val="00D31160"/>
    <w:rsid w:val="00D31D60"/>
    <w:rsid w:val="00D31DE5"/>
    <w:rsid w:val="00D31E73"/>
    <w:rsid w:val="00D31F70"/>
    <w:rsid w:val="00D32345"/>
    <w:rsid w:val="00D3282E"/>
    <w:rsid w:val="00D329F8"/>
    <w:rsid w:val="00D32C2B"/>
    <w:rsid w:val="00D33810"/>
    <w:rsid w:val="00D339C6"/>
    <w:rsid w:val="00D343F8"/>
    <w:rsid w:val="00D34481"/>
    <w:rsid w:val="00D3494C"/>
    <w:rsid w:val="00D349F8"/>
    <w:rsid w:val="00D34BF0"/>
    <w:rsid w:val="00D35745"/>
    <w:rsid w:val="00D35949"/>
    <w:rsid w:val="00D35BBB"/>
    <w:rsid w:val="00D35D92"/>
    <w:rsid w:val="00D35E7D"/>
    <w:rsid w:val="00D3671A"/>
    <w:rsid w:val="00D36AD2"/>
    <w:rsid w:val="00D37EB1"/>
    <w:rsid w:val="00D40121"/>
    <w:rsid w:val="00D4070F"/>
    <w:rsid w:val="00D408AF"/>
    <w:rsid w:val="00D40AF8"/>
    <w:rsid w:val="00D419DE"/>
    <w:rsid w:val="00D41BA9"/>
    <w:rsid w:val="00D42108"/>
    <w:rsid w:val="00D4247F"/>
    <w:rsid w:val="00D42D57"/>
    <w:rsid w:val="00D42DB1"/>
    <w:rsid w:val="00D432CC"/>
    <w:rsid w:val="00D43468"/>
    <w:rsid w:val="00D43BDD"/>
    <w:rsid w:val="00D442B1"/>
    <w:rsid w:val="00D443BF"/>
    <w:rsid w:val="00D44A96"/>
    <w:rsid w:val="00D44D97"/>
    <w:rsid w:val="00D44F7A"/>
    <w:rsid w:val="00D45285"/>
    <w:rsid w:val="00D452FB"/>
    <w:rsid w:val="00D45561"/>
    <w:rsid w:val="00D45853"/>
    <w:rsid w:val="00D45941"/>
    <w:rsid w:val="00D45A5C"/>
    <w:rsid w:val="00D45B10"/>
    <w:rsid w:val="00D45D11"/>
    <w:rsid w:val="00D45E94"/>
    <w:rsid w:val="00D45EC3"/>
    <w:rsid w:val="00D45F87"/>
    <w:rsid w:val="00D460F0"/>
    <w:rsid w:val="00D4654F"/>
    <w:rsid w:val="00D469AC"/>
    <w:rsid w:val="00D46E60"/>
    <w:rsid w:val="00D470F6"/>
    <w:rsid w:val="00D4724A"/>
    <w:rsid w:val="00D47699"/>
    <w:rsid w:val="00D5086A"/>
    <w:rsid w:val="00D50C53"/>
    <w:rsid w:val="00D50E20"/>
    <w:rsid w:val="00D51050"/>
    <w:rsid w:val="00D512FE"/>
    <w:rsid w:val="00D5142F"/>
    <w:rsid w:val="00D51ADF"/>
    <w:rsid w:val="00D51D5A"/>
    <w:rsid w:val="00D522A1"/>
    <w:rsid w:val="00D5238B"/>
    <w:rsid w:val="00D523EE"/>
    <w:rsid w:val="00D5265F"/>
    <w:rsid w:val="00D52E40"/>
    <w:rsid w:val="00D53041"/>
    <w:rsid w:val="00D531DB"/>
    <w:rsid w:val="00D53330"/>
    <w:rsid w:val="00D5336E"/>
    <w:rsid w:val="00D533B7"/>
    <w:rsid w:val="00D53A8A"/>
    <w:rsid w:val="00D53E4D"/>
    <w:rsid w:val="00D53E5A"/>
    <w:rsid w:val="00D5474F"/>
    <w:rsid w:val="00D549C3"/>
    <w:rsid w:val="00D54AF4"/>
    <w:rsid w:val="00D552EB"/>
    <w:rsid w:val="00D55559"/>
    <w:rsid w:val="00D5617C"/>
    <w:rsid w:val="00D563D3"/>
    <w:rsid w:val="00D5666D"/>
    <w:rsid w:val="00D569D2"/>
    <w:rsid w:val="00D56DF1"/>
    <w:rsid w:val="00D570C1"/>
    <w:rsid w:val="00D5717C"/>
    <w:rsid w:val="00D5766B"/>
    <w:rsid w:val="00D57B39"/>
    <w:rsid w:val="00D605C8"/>
    <w:rsid w:val="00D60873"/>
    <w:rsid w:val="00D60E74"/>
    <w:rsid w:val="00D61031"/>
    <w:rsid w:val="00D61913"/>
    <w:rsid w:val="00D61D9E"/>
    <w:rsid w:val="00D62064"/>
    <w:rsid w:val="00D620E2"/>
    <w:rsid w:val="00D62403"/>
    <w:rsid w:val="00D6242E"/>
    <w:rsid w:val="00D62433"/>
    <w:rsid w:val="00D62A5E"/>
    <w:rsid w:val="00D62E15"/>
    <w:rsid w:val="00D63A0A"/>
    <w:rsid w:val="00D64281"/>
    <w:rsid w:val="00D642D5"/>
    <w:rsid w:val="00D65515"/>
    <w:rsid w:val="00D65B96"/>
    <w:rsid w:val="00D65CDC"/>
    <w:rsid w:val="00D663DA"/>
    <w:rsid w:val="00D66445"/>
    <w:rsid w:val="00D678BE"/>
    <w:rsid w:val="00D67E5B"/>
    <w:rsid w:val="00D702A1"/>
    <w:rsid w:val="00D70722"/>
    <w:rsid w:val="00D70D0D"/>
    <w:rsid w:val="00D7191A"/>
    <w:rsid w:val="00D71B25"/>
    <w:rsid w:val="00D71C91"/>
    <w:rsid w:val="00D72B6F"/>
    <w:rsid w:val="00D72B73"/>
    <w:rsid w:val="00D734BA"/>
    <w:rsid w:val="00D73731"/>
    <w:rsid w:val="00D7418E"/>
    <w:rsid w:val="00D74481"/>
    <w:rsid w:val="00D747B6"/>
    <w:rsid w:val="00D74881"/>
    <w:rsid w:val="00D74966"/>
    <w:rsid w:val="00D749F2"/>
    <w:rsid w:val="00D74CED"/>
    <w:rsid w:val="00D74E35"/>
    <w:rsid w:val="00D74FEB"/>
    <w:rsid w:val="00D75774"/>
    <w:rsid w:val="00D75C7A"/>
    <w:rsid w:val="00D75FC3"/>
    <w:rsid w:val="00D760A6"/>
    <w:rsid w:val="00D76448"/>
    <w:rsid w:val="00D76F76"/>
    <w:rsid w:val="00D771AC"/>
    <w:rsid w:val="00D772B8"/>
    <w:rsid w:val="00D7742A"/>
    <w:rsid w:val="00D77C0C"/>
    <w:rsid w:val="00D802CF"/>
    <w:rsid w:val="00D8032E"/>
    <w:rsid w:val="00D81154"/>
    <w:rsid w:val="00D81346"/>
    <w:rsid w:val="00D8194E"/>
    <w:rsid w:val="00D81DF8"/>
    <w:rsid w:val="00D82349"/>
    <w:rsid w:val="00D824CF"/>
    <w:rsid w:val="00D8298A"/>
    <w:rsid w:val="00D82CA2"/>
    <w:rsid w:val="00D82CF8"/>
    <w:rsid w:val="00D82D0F"/>
    <w:rsid w:val="00D82F74"/>
    <w:rsid w:val="00D8332E"/>
    <w:rsid w:val="00D837CB"/>
    <w:rsid w:val="00D83F8E"/>
    <w:rsid w:val="00D841C4"/>
    <w:rsid w:val="00D8430C"/>
    <w:rsid w:val="00D847B9"/>
    <w:rsid w:val="00D84CA9"/>
    <w:rsid w:val="00D84D7C"/>
    <w:rsid w:val="00D84DFA"/>
    <w:rsid w:val="00D84F4D"/>
    <w:rsid w:val="00D84FFA"/>
    <w:rsid w:val="00D85AB2"/>
    <w:rsid w:val="00D862D5"/>
    <w:rsid w:val="00D86331"/>
    <w:rsid w:val="00D866AA"/>
    <w:rsid w:val="00D869BC"/>
    <w:rsid w:val="00D86A7E"/>
    <w:rsid w:val="00D86F9B"/>
    <w:rsid w:val="00D870D5"/>
    <w:rsid w:val="00D87642"/>
    <w:rsid w:val="00D87814"/>
    <w:rsid w:val="00D90045"/>
    <w:rsid w:val="00D903B1"/>
    <w:rsid w:val="00D9053F"/>
    <w:rsid w:val="00D90611"/>
    <w:rsid w:val="00D90809"/>
    <w:rsid w:val="00D908BB"/>
    <w:rsid w:val="00D908BD"/>
    <w:rsid w:val="00D90F29"/>
    <w:rsid w:val="00D910BB"/>
    <w:rsid w:val="00D918B9"/>
    <w:rsid w:val="00D91CD5"/>
    <w:rsid w:val="00D91DC1"/>
    <w:rsid w:val="00D91E24"/>
    <w:rsid w:val="00D9212C"/>
    <w:rsid w:val="00D929CA"/>
    <w:rsid w:val="00D92C4A"/>
    <w:rsid w:val="00D92CE2"/>
    <w:rsid w:val="00D92DD9"/>
    <w:rsid w:val="00D93568"/>
    <w:rsid w:val="00D939F1"/>
    <w:rsid w:val="00D9426F"/>
    <w:rsid w:val="00D944E9"/>
    <w:rsid w:val="00D9460F"/>
    <w:rsid w:val="00D94F69"/>
    <w:rsid w:val="00D957F4"/>
    <w:rsid w:val="00D95B20"/>
    <w:rsid w:val="00D95B2A"/>
    <w:rsid w:val="00D95D1D"/>
    <w:rsid w:val="00D96121"/>
    <w:rsid w:val="00D96353"/>
    <w:rsid w:val="00D964EB"/>
    <w:rsid w:val="00D96646"/>
    <w:rsid w:val="00D9666C"/>
    <w:rsid w:val="00D96AD8"/>
    <w:rsid w:val="00D97793"/>
    <w:rsid w:val="00D9790F"/>
    <w:rsid w:val="00D979F6"/>
    <w:rsid w:val="00D97A60"/>
    <w:rsid w:val="00D97B47"/>
    <w:rsid w:val="00D97BB5"/>
    <w:rsid w:val="00D97E6D"/>
    <w:rsid w:val="00DA05D3"/>
    <w:rsid w:val="00DA0628"/>
    <w:rsid w:val="00DA0DDB"/>
    <w:rsid w:val="00DA0E47"/>
    <w:rsid w:val="00DA1DD3"/>
    <w:rsid w:val="00DA2121"/>
    <w:rsid w:val="00DA26B4"/>
    <w:rsid w:val="00DA2743"/>
    <w:rsid w:val="00DA3661"/>
    <w:rsid w:val="00DA39DC"/>
    <w:rsid w:val="00DA3BDC"/>
    <w:rsid w:val="00DA3E5E"/>
    <w:rsid w:val="00DA4923"/>
    <w:rsid w:val="00DA4EA0"/>
    <w:rsid w:val="00DA50C1"/>
    <w:rsid w:val="00DA564F"/>
    <w:rsid w:val="00DA58E6"/>
    <w:rsid w:val="00DA5994"/>
    <w:rsid w:val="00DA60A3"/>
    <w:rsid w:val="00DA68B0"/>
    <w:rsid w:val="00DA6ED8"/>
    <w:rsid w:val="00DA77CE"/>
    <w:rsid w:val="00DA7D54"/>
    <w:rsid w:val="00DA7DD1"/>
    <w:rsid w:val="00DA7F49"/>
    <w:rsid w:val="00DB0647"/>
    <w:rsid w:val="00DB0B4A"/>
    <w:rsid w:val="00DB15F5"/>
    <w:rsid w:val="00DB1F26"/>
    <w:rsid w:val="00DB2245"/>
    <w:rsid w:val="00DB2BB1"/>
    <w:rsid w:val="00DB30DF"/>
    <w:rsid w:val="00DB312A"/>
    <w:rsid w:val="00DB35FA"/>
    <w:rsid w:val="00DB39B6"/>
    <w:rsid w:val="00DB3A74"/>
    <w:rsid w:val="00DB3F32"/>
    <w:rsid w:val="00DB41AF"/>
    <w:rsid w:val="00DB4ABC"/>
    <w:rsid w:val="00DB546A"/>
    <w:rsid w:val="00DB5470"/>
    <w:rsid w:val="00DB5A65"/>
    <w:rsid w:val="00DB5EE0"/>
    <w:rsid w:val="00DB61DB"/>
    <w:rsid w:val="00DB6477"/>
    <w:rsid w:val="00DB6519"/>
    <w:rsid w:val="00DB6811"/>
    <w:rsid w:val="00DB7003"/>
    <w:rsid w:val="00DB7413"/>
    <w:rsid w:val="00DB7DBD"/>
    <w:rsid w:val="00DC01F4"/>
    <w:rsid w:val="00DC0B29"/>
    <w:rsid w:val="00DC0F09"/>
    <w:rsid w:val="00DC0FB3"/>
    <w:rsid w:val="00DC1262"/>
    <w:rsid w:val="00DC1C9F"/>
    <w:rsid w:val="00DC24D8"/>
    <w:rsid w:val="00DC2582"/>
    <w:rsid w:val="00DC2619"/>
    <w:rsid w:val="00DC2E03"/>
    <w:rsid w:val="00DC2FB6"/>
    <w:rsid w:val="00DC3221"/>
    <w:rsid w:val="00DC4327"/>
    <w:rsid w:val="00DC46CE"/>
    <w:rsid w:val="00DC4EFF"/>
    <w:rsid w:val="00DC50AF"/>
    <w:rsid w:val="00DC5289"/>
    <w:rsid w:val="00DC54B5"/>
    <w:rsid w:val="00DC57FA"/>
    <w:rsid w:val="00DC61EA"/>
    <w:rsid w:val="00DC633E"/>
    <w:rsid w:val="00DC67D2"/>
    <w:rsid w:val="00DC68DB"/>
    <w:rsid w:val="00DC6A5F"/>
    <w:rsid w:val="00DC6AD6"/>
    <w:rsid w:val="00DC7086"/>
    <w:rsid w:val="00DC7623"/>
    <w:rsid w:val="00DD0180"/>
    <w:rsid w:val="00DD0445"/>
    <w:rsid w:val="00DD07D8"/>
    <w:rsid w:val="00DD12A4"/>
    <w:rsid w:val="00DD15EE"/>
    <w:rsid w:val="00DD15F1"/>
    <w:rsid w:val="00DD1765"/>
    <w:rsid w:val="00DD19BF"/>
    <w:rsid w:val="00DD2263"/>
    <w:rsid w:val="00DD229C"/>
    <w:rsid w:val="00DD256B"/>
    <w:rsid w:val="00DD260A"/>
    <w:rsid w:val="00DD279C"/>
    <w:rsid w:val="00DD2EE9"/>
    <w:rsid w:val="00DD302B"/>
    <w:rsid w:val="00DD32C5"/>
    <w:rsid w:val="00DD3304"/>
    <w:rsid w:val="00DD37A6"/>
    <w:rsid w:val="00DD4100"/>
    <w:rsid w:val="00DD4218"/>
    <w:rsid w:val="00DD467E"/>
    <w:rsid w:val="00DD4965"/>
    <w:rsid w:val="00DD4B1E"/>
    <w:rsid w:val="00DD4E22"/>
    <w:rsid w:val="00DD4F19"/>
    <w:rsid w:val="00DD5027"/>
    <w:rsid w:val="00DD51EB"/>
    <w:rsid w:val="00DD52B8"/>
    <w:rsid w:val="00DD58B1"/>
    <w:rsid w:val="00DD626B"/>
    <w:rsid w:val="00DD66E8"/>
    <w:rsid w:val="00DD69DA"/>
    <w:rsid w:val="00DD6B81"/>
    <w:rsid w:val="00DD6C2E"/>
    <w:rsid w:val="00DD745C"/>
    <w:rsid w:val="00DD76B0"/>
    <w:rsid w:val="00DD7732"/>
    <w:rsid w:val="00DD77C5"/>
    <w:rsid w:val="00DD7908"/>
    <w:rsid w:val="00DD7B23"/>
    <w:rsid w:val="00DD7BE9"/>
    <w:rsid w:val="00DE00C2"/>
    <w:rsid w:val="00DE0124"/>
    <w:rsid w:val="00DE0633"/>
    <w:rsid w:val="00DE079A"/>
    <w:rsid w:val="00DE1B65"/>
    <w:rsid w:val="00DE1C2B"/>
    <w:rsid w:val="00DE28AD"/>
    <w:rsid w:val="00DE2918"/>
    <w:rsid w:val="00DE2E54"/>
    <w:rsid w:val="00DE323A"/>
    <w:rsid w:val="00DE3706"/>
    <w:rsid w:val="00DE3764"/>
    <w:rsid w:val="00DE3E9B"/>
    <w:rsid w:val="00DE5596"/>
    <w:rsid w:val="00DE55D3"/>
    <w:rsid w:val="00DE57A5"/>
    <w:rsid w:val="00DE5A98"/>
    <w:rsid w:val="00DE5C40"/>
    <w:rsid w:val="00DE5FF1"/>
    <w:rsid w:val="00DE6810"/>
    <w:rsid w:val="00DE68CF"/>
    <w:rsid w:val="00DE6C4A"/>
    <w:rsid w:val="00DE6F92"/>
    <w:rsid w:val="00DE77B2"/>
    <w:rsid w:val="00DE7F9F"/>
    <w:rsid w:val="00DF01F5"/>
    <w:rsid w:val="00DF116C"/>
    <w:rsid w:val="00DF11D8"/>
    <w:rsid w:val="00DF153E"/>
    <w:rsid w:val="00DF1DE4"/>
    <w:rsid w:val="00DF25DE"/>
    <w:rsid w:val="00DF2768"/>
    <w:rsid w:val="00DF2CAE"/>
    <w:rsid w:val="00DF2D3B"/>
    <w:rsid w:val="00DF2F02"/>
    <w:rsid w:val="00DF37FA"/>
    <w:rsid w:val="00DF38CF"/>
    <w:rsid w:val="00DF3A3C"/>
    <w:rsid w:val="00DF3CB5"/>
    <w:rsid w:val="00DF3CFD"/>
    <w:rsid w:val="00DF40BF"/>
    <w:rsid w:val="00DF4496"/>
    <w:rsid w:val="00DF46D2"/>
    <w:rsid w:val="00DF553B"/>
    <w:rsid w:val="00DF5C7A"/>
    <w:rsid w:val="00DF6043"/>
    <w:rsid w:val="00DF61FF"/>
    <w:rsid w:val="00DF684A"/>
    <w:rsid w:val="00DF6AD4"/>
    <w:rsid w:val="00DF70EE"/>
    <w:rsid w:val="00DF7479"/>
    <w:rsid w:val="00DF7943"/>
    <w:rsid w:val="00DF7E11"/>
    <w:rsid w:val="00DF7F9A"/>
    <w:rsid w:val="00DF7FA6"/>
    <w:rsid w:val="00E00546"/>
    <w:rsid w:val="00E008D4"/>
    <w:rsid w:val="00E00DFD"/>
    <w:rsid w:val="00E00EAC"/>
    <w:rsid w:val="00E01521"/>
    <w:rsid w:val="00E016B7"/>
    <w:rsid w:val="00E01829"/>
    <w:rsid w:val="00E01CE2"/>
    <w:rsid w:val="00E01F84"/>
    <w:rsid w:val="00E022E0"/>
    <w:rsid w:val="00E023AA"/>
    <w:rsid w:val="00E02D66"/>
    <w:rsid w:val="00E03032"/>
    <w:rsid w:val="00E034D3"/>
    <w:rsid w:val="00E03961"/>
    <w:rsid w:val="00E0455C"/>
    <w:rsid w:val="00E04620"/>
    <w:rsid w:val="00E04C07"/>
    <w:rsid w:val="00E04EB5"/>
    <w:rsid w:val="00E056C9"/>
    <w:rsid w:val="00E0666F"/>
    <w:rsid w:val="00E066DC"/>
    <w:rsid w:val="00E06D29"/>
    <w:rsid w:val="00E07274"/>
    <w:rsid w:val="00E07437"/>
    <w:rsid w:val="00E074BF"/>
    <w:rsid w:val="00E07679"/>
    <w:rsid w:val="00E0786C"/>
    <w:rsid w:val="00E07D05"/>
    <w:rsid w:val="00E07F20"/>
    <w:rsid w:val="00E1064C"/>
    <w:rsid w:val="00E1094B"/>
    <w:rsid w:val="00E10C69"/>
    <w:rsid w:val="00E1134E"/>
    <w:rsid w:val="00E11CFA"/>
    <w:rsid w:val="00E122B8"/>
    <w:rsid w:val="00E1289D"/>
    <w:rsid w:val="00E12ED1"/>
    <w:rsid w:val="00E1303E"/>
    <w:rsid w:val="00E1336B"/>
    <w:rsid w:val="00E13DAE"/>
    <w:rsid w:val="00E13F8C"/>
    <w:rsid w:val="00E1403B"/>
    <w:rsid w:val="00E1409E"/>
    <w:rsid w:val="00E1410D"/>
    <w:rsid w:val="00E1424C"/>
    <w:rsid w:val="00E14780"/>
    <w:rsid w:val="00E14939"/>
    <w:rsid w:val="00E14EDE"/>
    <w:rsid w:val="00E15269"/>
    <w:rsid w:val="00E15939"/>
    <w:rsid w:val="00E162DC"/>
    <w:rsid w:val="00E162E0"/>
    <w:rsid w:val="00E1680C"/>
    <w:rsid w:val="00E17115"/>
    <w:rsid w:val="00E17647"/>
    <w:rsid w:val="00E207A2"/>
    <w:rsid w:val="00E21707"/>
    <w:rsid w:val="00E21C30"/>
    <w:rsid w:val="00E21E32"/>
    <w:rsid w:val="00E2204C"/>
    <w:rsid w:val="00E22082"/>
    <w:rsid w:val="00E22807"/>
    <w:rsid w:val="00E231EE"/>
    <w:rsid w:val="00E23403"/>
    <w:rsid w:val="00E234D4"/>
    <w:rsid w:val="00E24E37"/>
    <w:rsid w:val="00E250CC"/>
    <w:rsid w:val="00E253FC"/>
    <w:rsid w:val="00E2574D"/>
    <w:rsid w:val="00E25771"/>
    <w:rsid w:val="00E25FA7"/>
    <w:rsid w:val="00E262F7"/>
    <w:rsid w:val="00E2647B"/>
    <w:rsid w:val="00E26B77"/>
    <w:rsid w:val="00E274DE"/>
    <w:rsid w:val="00E3039D"/>
    <w:rsid w:val="00E303D0"/>
    <w:rsid w:val="00E307CF"/>
    <w:rsid w:val="00E3082A"/>
    <w:rsid w:val="00E30CCF"/>
    <w:rsid w:val="00E31211"/>
    <w:rsid w:val="00E312AF"/>
    <w:rsid w:val="00E314BB"/>
    <w:rsid w:val="00E314EA"/>
    <w:rsid w:val="00E315E6"/>
    <w:rsid w:val="00E31F24"/>
    <w:rsid w:val="00E31FFA"/>
    <w:rsid w:val="00E3207D"/>
    <w:rsid w:val="00E326A0"/>
    <w:rsid w:val="00E32802"/>
    <w:rsid w:val="00E32804"/>
    <w:rsid w:val="00E32BC2"/>
    <w:rsid w:val="00E32C9F"/>
    <w:rsid w:val="00E32D07"/>
    <w:rsid w:val="00E33BD6"/>
    <w:rsid w:val="00E33D36"/>
    <w:rsid w:val="00E33F6B"/>
    <w:rsid w:val="00E3419F"/>
    <w:rsid w:val="00E3456D"/>
    <w:rsid w:val="00E3475E"/>
    <w:rsid w:val="00E34E8D"/>
    <w:rsid w:val="00E351F4"/>
    <w:rsid w:val="00E3545D"/>
    <w:rsid w:val="00E35743"/>
    <w:rsid w:val="00E35E0D"/>
    <w:rsid w:val="00E3627C"/>
    <w:rsid w:val="00E365EB"/>
    <w:rsid w:val="00E36619"/>
    <w:rsid w:val="00E36DAE"/>
    <w:rsid w:val="00E3715C"/>
    <w:rsid w:val="00E37506"/>
    <w:rsid w:val="00E37580"/>
    <w:rsid w:val="00E37ABA"/>
    <w:rsid w:val="00E404F4"/>
    <w:rsid w:val="00E40507"/>
    <w:rsid w:val="00E40641"/>
    <w:rsid w:val="00E40857"/>
    <w:rsid w:val="00E40970"/>
    <w:rsid w:val="00E40AF8"/>
    <w:rsid w:val="00E41398"/>
    <w:rsid w:val="00E41D9D"/>
    <w:rsid w:val="00E41EBF"/>
    <w:rsid w:val="00E42406"/>
    <w:rsid w:val="00E42459"/>
    <w:rsid w:val="00E42B66"/>
    <w:rsid w:val="00E42CC7"/>
    <w:rsid w:val="00E434E4"/>
    <w:rsid w:val="00E4396E"/>
    <w:rsid w:val="00E43A26"/>
    <w:rsid w:val="00E43C91"/>
    <w:rsid w:val="00E44C81"/>
    <w:rsid w:val="00E44EAC"/>
    <w:rsid w:val="00E45690"/>
    <w:rsid w:val="00E457FC"/>
    <w:rsid w:val="00E45DD5"/>
    <w:rsid w:val="00E46448"/>
    <w:rsid w:val="00E46774"/>
    <w:rsid w:val="00E469FF"/>
    <w:rsid w:val="00E47062"/>
    <w:rsid w:val="00E5030B"/>
    <w:rsid w:val="00E516B1"/>
    <w:rsid w:val="00E517E1"/>
    <w:rsid w:val="00E51ADF"/>
    <w:rsid w:val="00E51AEA"/>
    <w:rsid w:val="00E51E1E"/>
    <w:rsid w:val="00E52328"/>
    <w:rsid w:val="00E524E4"/>
    <w:rsid w:val="00E52AB6"/>
    <w:rsid w:val="00E52B73"/>
    <w:rsid w:val="00E53207"/>
    <w:rsid w:val="00E532CB"/>
    <w:rsid w:val="00E5399E"/>
    <w:rsid w:val="00E53A4A"/>
    <w:rsid w:val="00E53A72"/>
    <w:rsid w:val="00E53B57"/>
    <w:rsid w:val="00E5406C"/>
    <w:rsid w:val="00E543C2"/>
    <w:rsid w:val="00E54771"/>
    <w:rsid w:val="00E54794"/>
    <w:rsid w:val="00E54C4C"/>
    <w:rsid w:val="00E54CE1"/>
    <w:rsid w:val="00E54EF6"/>
    <w:rsid w:val="00E55485"/>
    <w:rsid w:val="00E554E4"/>
    <w:rsid w:val="00E55621"/>
    <w:rsid w:val="00E5581C"/>
    <w:rsid w:val="00E559B5"/>
    <w:rsid w:val="00E55A96"/>
    <w:rsid w:val="00E56017"/>
    <w:rsid w:val="00E560AC"/>
    <w:rsid w:val="00E56190"/>
    <w:rsid w:val="00E56282"/>
    <w:rsid w:val="00E56364"/>
    <w:rsid w:val="00E564FA"/>
    <w:rsid w:val="00E567F8"/>
    <w:rsid w:val="00E578FE"/>
    <w:rsid w:val="00E579A8"/>
    <w:rsid w:val="00E57E08"/>
    <w:rsid w:val="00E57FE3"/>
    <w:rsid w:val="00E601D4"/>
    <w:rsid w:val="00E60231"/>
    <w:rsid w:val="00E60585"/>
    <w:rsid w:val="00E60F77"/>
    <w:rsid w:val="00E610BD"/>
    <w:rsid w:val="00E616C4"/>
    <w:rsid w:val="00E616CD"/>
    <w:rsid w:val="00E61C3A"/>
    <w:rsid w:val="00E621EF"/>
    <w:rsid w:val="00E62899"/>
    <w:rsid w:val="00E63222"/>
    <w:rsid w:val="00E63760"/>
    <w:rsid w:val="00E637D0"/>
    <w:rsid w:val="00E637FF"/>
    <w:rsid w:val="00E638ED"/>
    <w:rsid w:val="00E63D1D"/>
    <w:rsid w:val="00E63DFE"/>
    <w:rsid w:val="00E63FA5"/>
    <w:rsid w:val="00E64377"/>
    <w:rsid w:val="00E64385"/>
    <w:rsid w:val="00E64639"/>
    <w:rsid w:val="00E64681"/>
    <w:rsid w:val="00E64958"/>
    <w:rsid w:val="00E650DD"/>
    <w:rsid w:val="00E6553E"/>
    <w:rsid w:val="00E657FA"/>
    <w:rsid w:val="00E65892"/>
    <w:rsid w:val="00E658D5"/>
    <w:rsid w:val="00E659E7"/>
    <w:rsid w:val="00E66630"/>
    <w:rsid w:val="00E66734"/>
    <w:rsid w:val="00E669EA"/>
    <w:rsid w:val="00E67131"/>
    <w:rsid w:val="00E67201"/>
    <w:rsid w:val="00E675BD"/>
    <w:rsid w:val="00E67B8D"/>
    <w:rsid w:val="00E70232"/>
    <w:rsid w:val="00E70B05"/>
    <w:rsid w:val="00E71235"/>
    <w:rsid w:val="00E71600"/>
    <w:rsid w:val="00E71D19"/>
    <w:rsid w:val="00E71DD8"/>
    <w:rsid w:val="00E72AB8"/>
    <w:rsid w:val="00E72E61"/>
    <w:rsid w:val="00E736B0"/>
    <w:rsid w:val="00E73ADE"/>
    <w:rsid w:val="00E73C0F"/>
    <w:rsid w:val="00E73DAA"/>
    <w:rsid w:val="00E73EFF"/>
    <w:rsid w:val="00E74641"/>
    <w:rsid w:val="00E74B3F"/>
    <w:rsid w:val="00E74CF3"/>
    <w:rsid w:val="00E751CD"/>
    <w:rsid w:val="00E75591"/>
    <w:rsid w:val="00E75F0E"/>
    <w:rsid w:val="00E765CC"/>
    <w:rsid w:val="00E76709"/>
    <w:rsid w:val="00E801FA"/>
    <w:rsid w:val="00E8042D"/>
    <w:rsid w:val="00E807CA"/>
    <w:rsid w:val="00E80BA2"/>
    <w:rsid w:val="00E80C83"/>
    <w:rsid w:val="00E8109C"/>
    <w:rsid w:val="00E81698"/>
    <w:rsid w:val="00E81F51"/>
    <w:rsid w:val="00E82212"/>
    <w:rsid w:val="00E822E4"/>
    <w:rsid w:val="00E826FB"/>
    <w:rsid w:val="00E827EF"/>
    <w:rsid w:val="00E82CE1"/>
    <w:rsid w:val="00E833CA"/>
    <w:rsid w:val="00E8397C"/>
    <w:rsid w:val="00E83AFD"/>
    <w:rsid w:val="00E84652"/>
    <w:rsid w:val="00E84987"/>
    <w:rsid w:val="00E849D0"/>
    <w:rsid w:val="00E84D85"/>
    <w:rsid w:val="00E84D87"/>
    <w:rsid w:val="00E85DA0"/>
    <w:rsid w:val="00E86843"/>
    <w:rsid w:val="00E86CB2"/>
    <w:rsid w:val="00E86E0F"/>
    <w:rsid w:val="00E8747C"/>
    <w:rsid w:val="00E8783D"/>
    <w:rsid w:val="00E91464"/>
    <w:rsid w:val="00E9169E"/>
    <w:rsid w:val="00E91DBC"/>
    <w:rsid w:val="00E9285D"/>
    <w:rsid w:val="00E92A47"/>
    <w:rsid w:val="00E92DDE"/>
    <w:rsid w:val="00E92E72"/>
    <w:rsid w:val="00E92EE1"/>
    <w:rsid w:val="00E932E3"/>
    <w:rsid w:val="00E93611"/>
    <w:rsid w:val="00E936CC"/>
    <w:rsid w:val="00E9448F"/>
    <w:rsid w:val="00E9494B"/>
    <w:rsid w:val="00E94A8E"/>
    <w:rsid w:val="00E94D82"/>
    <w:rsid w:val="00E9504D"/>
    <w:rsid w:val="00E958A7"/>
    <w:rsid w:val="00E95D73"/>
    <w:rsid w:val="00E95FE0"/>
    <w:rsid w:val="00E962BD"/>
    <w:rsid w:val="00E962CB"/>
    <w:rsid w:val="00E965C6"/>
    <w:rsid w:val="00E966CC"/>
    <w:rsid w:val="00E9693F"/>
    <w:rsid w:val="00E96A21"/>
    <w:rsid w:val="00E97370"/>
    <w:rsid w:val="00E973BB"/>
    <w:rsid w:val="00E9742B"/>
    <w:rsid w:val="00E97552"/>
    <w:rsid w:val="00E975D9"/>
    <w:rsid w:val="00E97C80"/>
    <w:rsid w:val="00E97FC1"/>
    <w:rsid w:val="00EA0A04"/>
    <w:rsid w:val="00EA0D3F"/>
    <w:rsid w:val="00EA189B"/>
    <w:rsid w:val="00EA1B2A"/>
    <w:rsid w:val="00EA1C9E"/>
    <w:rsid w:val="00EA1DBB"/>
    <w:rsid w:val="00EA20DB"/>
    <w:rsid w:val="00EA26D0"/>
    <w:rsid w:val="00EA288B"/>
    <w:rsid w:val="00EA2E3F"/>
    <w:rsid w:val="00EA2E77"/>
    <w:rsid w:val="00EA2EE9"/>
    <w:rsid w:val="00EA2F05"/>
    <w:rsid w:val="00EA33AE"/>
    <w:rsid w:val="00EA35C0"/>
    <w:rsid w:val="00EA47BF"/>
    <w:rsid w:val="00EA47D6"/>
    <w:rsid w:val="00EA4A4E"/>
    <w:rsid w:val="00EA5B5B"/>
    <w:rsid w:val="00EA744D"/>
    <w:rsid w:val="00EA7AD8"/>
    <w:rsid w:val="00EA7D7F"/>
    <w:rsid w:val="00EB0665"/>
    <w:rsid w:val="00EB09D8"/>
    <w:rsid w:val="00EB0C7E"/>
    <w:rsid w:val="00EB0ECD"/>
    <w:rsid w:val="00EB147D"/>
    <w:rsid w:val="00EB17DF"/>
    <w:rsid w:val="00EB1E52"/>
    <w:rsid w:val="00EB1F23"/>
    <w:rsid w:val="00EB2032"/>
    <w:rsid w:val="00EB3732"/>
    <w:rsid w:val="00EB39DA"/>
    <w:rsid w:val="00EB39E3"/>
    <w:rsid w:val="00EB3B5D"/>
    <w:rsid w:val="00EB3BFD"/>
    <w:rsid w:val="00EB570F"/>
    <w:rsid w:val="00EB5A85"/>
    <w:rsid w:val="00EB654C"/>
    <w:rsid w:val="00EB6853"/>
    <w:rsid w:val="00EB69A1"/>
    <w:rsid w:val="00EB6CB5"/>
    <w:rsid w:val="00EB6E68"/>
    <w:rsid w:val="00EB78C5"/>
    <w:rsid w:val="00EB7C38"/>
    <w:rsid w:val="00EC1417"/>
    <w:rsid w:val="00EC1E3C"/>
    <w:rsid w:val="00EC1FEF"/>
    <w:rsid w:val="00EC228E"/>
    <w:rsid w:val="00EC25FB"/>
    <w:rsid w:val="00EC2E2F"/>
    <w:rsid w:val="00EC308B"/>
    <w:rsid w:val="00EC3157"/>
    <w:rsid w:val="00EC345F"/>
    <w:rsid w:val="00EC39C8"/>
    <w:rsid w:val="00EC471B"/>
    <w:rsid w:val="00EC47D5"/>
    <w:rsid w:val="00EC4C65"/>
    <w:rsid w:val="00EC5156"/>
    <w:rsid w:val="00EC54FC"/>
    <w:rsid w:val="00EC57F5"/>
    <w:rsid w:val="00EC5909"/>
    <w:rsid w:val="00EC5D10"/>
    <w:rsid w:val="00EC5FDB"/>
    <w:rsid w:val="00EC6C44"/>
    <w:rsid w:val="00EC6E22"/>
    <w:rsid w:val="00EC714F"/>
    <w:rsid w:val="00EC74E6"/>
    <w:rsid w:val="00EC7955"/>
    <w:rsid w:val="00ED0036"/>
    <w:rsid w:val="00ED0645"/>
    <w:rsid w:val="00ED1247"/>
    <w:rsid w:val="00ED171C"/>
    <w:rsid w:val="00ED17A1"/>
    <w:rsid w:val="00ED20C7"/>
    <w:rsid w:val="00ED3454"/>
    <w:rsid w:val="00ED4137"/>
    <w:rsid w:val="00ED488B"/>
    <w:rsid w:val="00ED48F2"/>
    <w:rsid w:val="00ED4E71"/>
    <w:rsid w:val="00ED4F62"/>
    <w:rsid w:val="00ED59AF"/>
    <w:rsid w:val="00ED616B"/>
    <w:rsid w:val="00ED643B"/>
    <w:rsid w:val="00ED6860"/>
    <w:rsid w:val="00ED6C29"/>
    <w:rsid w:val="00ED7050"/>
    <w:rsid w:val="00ED710D"/>
    <w:rsid w:val="00ED71EA"/>
    <w:rsid w:val="00ED7272"/>
    <w:rsid w:val="00ED72D0"/>
    <w:rsid w:val="00ED7748"/>
    <w:rsid w:val="00ED7A95"/>
    <w:rsid w:val="00ED7DED"/>
    <w:rsid w:val="00EE0624"/>
    <w:rsid w:val="00EE06EB"/>
    <w:rsid w:val="00EE09BA"/>
    <w:rsid w:val="00EE0D85"/>
    <w:rsid w:val="00EE0DC1"/>
    <w:rsid w:val="00EE0DE9"/>
    <w:rsid w:val="00EE0EF6"/>
    <w:rsid w:val="00EE0FE8"/>
    <w:rsid w:val="00EE11FE"/>
    <w:rsid w:val="00EE1A8D"/>
    <w:rsid w:val="00EE1F7D"/>
    <w:rsid w:val="00EE2102"/>
    <w:rsid w:val="00EE25C0"/>
    <w:rsid w:val="00EE25FC"/>
    <w:rsid w:val="00EE303F"/>
    <w:rsid w:val="00EE30D9"/>
    <w:rsid w:val="00EE3308"/>
    <w:rsid w:val="00EE37AC"/>
    <w:rsid w:val="00EE38C5"/>
    <w:rsid w:val="00EE399B"/>
    <w:rsid w:val="00EE45D1"/>
    <w:rsid w:val="00EE482A"/>
    <w:rsid w:val="00EE4886"/>
    <w:rsid w:val="00EE4B45"/>
    <w:rsid w:val="00EE4DF5"/>
    <w:rsid w:val="00EE4F84"/>
    <w:rsid w:val="00EE4FDF"/>
    <w:rsid w:val="00EE4FF2"/>
    <w:rsid w:val="00EE5157"/>
    <w:rsid w:val="00EE520E"/>
    <w:rsid w:val="00EE5597"/>
    <w:rsid w:val="00EE57FA"/>
    <w:rsid w:val="00EE63D1"/>
    <w:rsid w:val="00EE65BB"/>
    <w:rsid w:val="00EE677B"/>
    <w:rsid w:val="00EE6EA5"/>
    <w:rsid w:val="00EE715F"/>
    <w:rsid w:val="00EE793D"/>
    <w:rsid w:val="00EE7A36"/>
    <w:rsid w:val="00EF0776"/>
    <w:rsid w:val="00EF0D47"/>
    <w:rsid w:val="00EF1D20"/>
    <w:rsid w:val="00EF1D91"/>
    <w:rsid w:val="00EF27E1"/>
    <w:rsid w:val="00EF2802"/>
    <w:rsid w:val="00EF2EB6"/>
    <w:rsid w:val="00EF38C0"/>
    <w:rsid w:val="00EF39BF"/>
    <w:rsid w:val="00EF3C85"/>
    <w:rsid w:val="00EF3EFB"/>
    <w:rsid w:val="00EF45A7"/>
    <w:rsid w:val="00EF45DB"/>
    <w:rsid w:val="00EF46EC"/>
    <w:rsid w:val="00EF4727"/>
    <w:rsid w:val="00EF4F32"/>
    <w:rsid w:val="00EF5004"/>
    <w:rsid w:val="00EF52D2"/>
    <w:rsid w:val="00EF5380"/>
    <w:rsid w:val="00EF5B0E"/>
    <w:rsid w:val="00EF5E43"/>
    <w:rsid w:val="00EF5E44"/>
    <w:rsid w:val="00EF6187"/>
    <w:rsid w:val="00EF61A7"/>
    <w:rsid w:val="00EF6593"/>
    <w:rsid w:val="00EF6995"/>
    <w:rsid w:val="00EF6A2A"/>
    <w:rsid w:val="00EF6CD7"/>
    <w:rsid w:val="00EF6DBB"/>
    <w:rsid w:val="00EF79AF"/>
    <w:rsid w:val="00EF7CC6"/>
    <w:rsid w:val="00EF7E75"/>
    <w:rsid w:val="00F009F8"/>
    <w:rsid w:val="00F00B0B"/>
    <w:rsid w:val="00F00B9F"/>
    <w:rsid w:val="00F00CE5"/>
    <w:rsid w:val="00F00EB5"/>
    <w:rsid w:val="00F0130E"/>
    <w:rsid w:val="00F01785"/>
    <w:rsid w:val="00F01948"/>
    <w:rsid w:val="00F019CB"/>
    <w:rsid w:val="00F01C71"/>
    <w:rsid w:val="00F0225F"/>
    <w:rsid w:val="00F03B80"/>
    <w:rsid w:val="00F03B8E"/>
    <w:rsid w:val="00F05037"/>
    <w:rsid w:val="00F05425"/>
    <w:rsid w:val="00F059CE"/>
    <w:rsid w:val="00F05D16"/>
    <w:rsid w:val="00F05EC8"/>
    <w:rsid w:val="00F05EEF"/>
    <w:rsid w:val="00F05F5C"/>
    <w:rsid w:val="00F062F1"/>
    <w:rsid w:val="00F06692"/>
    <w:rsid w:val="00F06C5B"/>
    <w:rsid w:val="00F071C0"/>
    <w:rsid w:val="00F073ED"/>
    <w:rsid w:val="00F07B8F"/>
    <w:rsid w:val="00F10217"/>
    <w:rsid w:val="00F10CBA"/>
    <w:rsid w:val="00F11842"/>
    <w:rsid w:val="00F11CB1"/>
    <w:rsid w:val="00F11DFC"/>
    <w:rsid w:val="00F1212F"/>
    <w:rsid w:val="00F12344"/>
    <w:rsid w:val="00F12624"/>
    <w:rsid w:val="00F12CE6"/>
    <w:rsid w:val="00F12E2F"/>
    <w:rsid w:val="00F13848"/>
    <w:rsid w:val="00F13C0C"/>
    <w:rsid w:val="00F14E5A"/>
    <w:rsid w:val="00F1543E"/>
    <w:rsid w:val="00F15E1B"/>
    <w:rsid w:val="00F15E9F"/>
    <w:rsid w:val="00F16452"/>
    <w:rsid w:val="00F165F8"/>
    <w:rsid w:val="00F166A0"/>
    <w:rsid w:val="00F16D70"/>
    <w:rsid w:val="00F16DFD"/>
    <w:rsid w:val="00F172D3"/>
    <w:rsid w:val="00F173DA"/>
    <w:rsid w:val="00F17661"/>
    <w:rsid w:val="00F201D8"/>
    <w:rsid w:val="00F20803"/>
    <w:rsid w:val="00F2091E"/>
    <w:rsid w:val="00F20B1B"/>
    <w:rsid w:val="00F20DE2"/>
    <w:rsid w:val="00F20E4C"/>
    <w:rsid w:val="00F21618"/>
    <w:rsid w:val="00F21791"/>
    <w:rsid w:val="00F224CC"/>
    <w:rsid w:val="00F229B1"/>
    <w:rsid w:val="00F22A86"/>
    <w:rsid w:val="00F22C90"/>
    <w:rsid w:val="00F22EB7"/>
    <w:rsid w:val="00F22FD5"/>
    <w:rsid w:val="00F2326C"/>
    <w:rsid w:val="00F23DD7"/>
    <w:rsid w:val="00F23FA9"/>
    <w:rsid w:val="00F249EA"/>
    <w:rsid w:val="00F24E40"/>
    <w:rsid w:val="00F24F05"/>
    <w:rsid w:val="00F25412"/>
    <w:rsid w:val="00F25632"/>
    <w:rsid w:val="00F25AC1"/>
    <w:rsid w:val="00F261AC"/>
    <w:rsid w:val="00F26243"/>
    <w:rsid w:val="00F266E0"/>
    <w:rsid w:val="00F26778"/>
    <w:rsid w:val="00F26CF9"/>
    <w:rsid w:val="00F26DE0"/>
    <w:rsid w:val="00F26E03"/>
    <w:rsid w:val="00F26EC7"/>
    <w:rsid w:val="00F2704D"/>
    <w:rsid w:val="00F27098"/>
    <w:rsid w:val="00F27791"/>
    <w:rsid w:val="00F277EA"/>
    <w:rsid w:val="00F3069B"/>
    <w:rsid w:val="00F30EFB"/>
    <w:rsid w:val="00F312AE"/>
    <w:rsid w:val="00F31939"/>
    <w:rsid w:val="00F322F2"/>
    <w:rsid w:val="00F3282C"/>
    <w:rsid w:val="00F32D61"/>
    <w:rsid w:val="00F33376"/>
    <w:rsid w:val="00F33881"/>
    <w:rsid w:val="00F33BE6"/>
    <w:rsid w:val="00F33E40"/>
    <w:rsid w:val="00F33FAD"/>
    <w:rsid w:val="00F34097"/>
    <w:rsid w:val="00F3456C"/>
    <w:rsid w:val="00F3461C"/>
    <w:rsid w:val="00F34753"/>
    <w:rsid w:val="00F3497F"/>
    <w:rsid w:val="00F34ACA"/>
    <w:rsid w:val="00F34D2F"/>
    <w:rsid w:val="00F34E8D"/>
    <w:rsid w:val="00F34EB3"/>
    <w:rsid w:val="00F353C9"/>
    <w:rsid w:val="00F359FF"/>
    <w:rsid w:val="00F3619C"/>
    <w:rsid w:val="00F363FA"/>
    <w:rsid w:val="00F3644B"/>
    <w:rsid w:val="00F3668F"/>
    <w:rsid w:val="00F36B66"/>
    <w:rsid w:val="00F36BD9"/>
    <w:rsid w:val="00F36BDA"/>
    <w:rsid w:val="00F36C40"/>
    <w:rsid w:val="00F36C48"/>
    <w:rsid w:val="00F36DED"/>
    <w:rsid w:val="00F36E5A"/>
    <w:rsid w:val="00F36F0F"/>
    <w:rsid w:val="00F3710D"/>
    <w:rsid w:val="00F37375"/>
    <w:rsid w:val="00F374A8"/>
    <w:rsid w:val="00F40EC3"/>
    <w:rsid w:val="00F40FC2"/>
    <w:rsid w:val="00F418CF"/>
    <w:rsid w:val="00F41903"/>
    <w:rsid w:val="00F41F3A"/>
    <w:rsid w:val="00F421BF"/>
    <w:rsid w:val="00F4226D"/>
    <w:rsid w:val="00F4233A"/>
    <w:rsid w:val="00F424AF"/>
    <w:rsid w:val="00F42524"/>
    <w:rsid w:val="00F42B90"/>
    <w:rsid w:val="00F42C9C"/>
    <w:rsid w:val="00F42E8D"/>
    <w:rsid w:val="00F43818"/>
    <w:rsid w:val="00F43AFC"/>
    <w:rsid w:val="00F43B40"/>
    <w:rsid w:val="00F43CDC"/>
    <w:rsid w:val="00F44265"/>
    <w:rsid w:val="00F445BE"/>
    <w:rsid w:val="00F44AA0"/>
    <w:rsid w:val="00F44B3E"/>
    <w:rsid w:val="00F44DA8"/>
    <w:rsid w:val="00F45425"/>
    <w:rsid w:val="00F4546D"/>
    <w:rsid w:val="00F4573F"/>
    <w:rsid w:val="00F45869"/>
    <w:rsid w:val="00F458E9"/>
    <w:rsid w:val="00F45A86"/>
    <w:rsid w:val="00F45A87"/>
    <w:rsid w:val="00F45D28"/>
    <w:rsid w:val="00F46C9C"/>
    <w:rsid w:val="00F47DB4"/>
    <w:rsid w:val="00F47F73"/>
    <w:rsid w:val="00F5040C"/>
    <w:rsid w:val="00F509AD"/>
    <w:rsid w:val="00F51FF4"/>
    <w:rsid w:val="00F52132"/>
    <w:rsid w:val="00F530BB"/>
    <w:rsid w:val="00F5332F"/>
    <w:rsid w:val="00F53547"/>
    <w:rsid w:val="00F5385B"/>
    <w:rsid w:val="00F53ACB"/>
    <w:rsid w:val="00F53C50"/>
    <w:rsid w:val="00F543EB"/>
    <w:rsid w:val="00F54AC2"/>
    <w:rsid w:val="00F5571D"/>
    <w:rsid w:val="00F55E8A"/>
    <w:rsid w:val="00F5620C"/>
    <w:rsid w:val="00F5764B"/>
    <w:rsid w:val="00F57B29"/>
    <w:rsid w:val="00F600FC"/>
    <w:rsid w:val="00F6047F"/>
    <w:rsid w:val="00F60D06"/>
    <w:rsid w:val="00F60D92"/>
    <w:rsid w:val="00F60EF7"/>
    <w:rsid w:val="00F61257"/>
    <w:rsid w:val="00F61351"/>
    <w:rsid w:val="00F61386"/>
    <w:rsid w:val="00F6190F"/>
    <w:rsid w:val="00F61F3D"/>
    <w:rsid w:val="00F61FE3"/>
    <w:rsid w:val="00F62557"/>
    <w:rsid w:val="00F6263F"/>
    <w:rsid w:val="00F626BB"/>
    <w:rsid w:val="00F6285B"/>
    <w:rsid w:val="00F62BCE"/>
    <w:rsid w:val="00F62F23"/>
    <w:rsid w:val="00F6406D"/>
    <w:rsid w:val="00F642F7"/>
    <w:rsid w:val="00F643F9"/>
    <w:rsid w:val="00F644AA"/>
    <w:rsid w:val="00F650DB"/>
    <w:rsid w:val="00F6557F"/>
    <w:rsid w:val="00F65A95"/>
    <w:rsid w:val="00F65ADB"/>
    <w:rsid w:val="00F65D1B"/>
    <w:rsid w:val="00F65FA9"/>
    <w:rsid w:val="00F664F5"/>
    <w:rsid w:val="00F66FCC"/>
    <w:rsid w:val="00F67696"/>
    <w:rsid w:val="00F67F37"/>
    <w:rsid w:val="00F70076"/>
    <w:rsid w:val="00F701D9"/>
    <w:rsid w:val="00F70361"/>
    <w:rsid w:val="00F70754"/>
    <w:rsid w:val="00F7081B"/>
    <w:rsid w:val="00F7087C"/>
    <w:rsid w:val="00F70C05"/>
    <w:rsid w:val="00F70CEA"/>
    <w:rsid w:val="00F715A3"/>
    <w:rsid w:val="00F71B15"/>
    <w:rsid w:val="00F72131"/>
    <w:rsid w:val="00F72759"/>
    <w:rsid w:val="00F72A24"/>
    <w:rsid w:val="00F72C24"/>
    <w:rsid w:val="00F72F3B"/>
    <w:rsid w:val="00F7324A"/>
    <w:rsid w:val="00F7325D"/>
    <w:rsid w:val="00F74879"/>
    <w:rsid w:val="00F74FE3"/>
    <w:rsid w:val="00F75074"/>
    <w:rsid w:val="00F75535"/>
    <w:rsid w:val="00F75BC0"/>
    <w:rsid w:val="00F75D4F"/>
    <w:rsid w:val="00F75F86"/>
    <w:rsid w:val="00F76508"/>
    <w:rsid w:val="00F766BA"/>
    <w:rsid w:val="00F77370"/>
    <w:rsid w:val="00F77A39"/>
    <w:rsid w:val="00F805E5"/>
    <w:rsid w:val="00F80869"/>
    <w:rsid w:val="00F80A12"/>
    <w:rsid w:val="00F8128C"/>
    <w:rsid w:val="00F81341"/>
    <w:rsid w:val="00F8158B"/>
    <w:rsid w:val="00F81673"/>
    <w:rsid w:val="00F81AD7"/>
    <w:rsid w:val="00F821CD"/>
    <w:rsid w:val="00F82DDB"/>
    <w:rsid w:val="00F83160"/>
    <w:rsid w:val="00F83250"/>
    <w:rsid w:val="00F832BF"/>
    <w:rsid w:val="00F833BE"/>
    <w:rsid w:val="00F83431"/>
    <w:rsid w:val="00F8345D"/>
    <w:rsid w:val="00F838CC"/>
    <w:rsid w:val="00F83DA8"/>
    <w:rsid w:val="00F8400A"/>
    <w:rsid w:val="00F84339"/>
    <w:rsid w:val="00F84573"/>
    <w:rsid w:val="00F84604"/>
    <w:rsid w:val="00F84716"/>
    <w:rsid w:val="00F84EB8"/>
    <w:rsid w:val="00F84FD4"/>
    <w:rsid w:val="00F85694"/>
    <w:rsid w:val="00F856CD"/>
    <w:rsid w:val="00F865CA"/>
    <w:rsid w:val="00F86742"/>
    <w:rsid w:val="00F867A2"/>
    <w:rsid w:val="00F86C18"/>
    <w:rsid w:val="00F86F2C"/>
    <w:rsid w:val="00F8764D"/>
    <w:rsid w:val="00F87DB9"/>
    <w:rsid w:val="00F9106A"/>
    <w:rsid w:val="00F91A9A"/>
    <w:rsid w:val="00F91E4B"/>
    <w:rsid w:val="00F9209C"/>
    <w:rsid w:val="00F9244B"/>
    <w:rsid w:val="00F92A1F"/>
    <w:rsid w:val="00F92D1D"/>
    <w:rsid w:val="00F931EC"/>
    <w:rsid w:val="00F93328"/>
    <w:rsid w:val="00F93524"/>
    <w:rsid w:val="00F93D76"/>
    <w:rsid w:val="00F94513"/>
    <w:rsid w:val="00F94666"/>
    <w:rsid w:val="00F947E0"/>
    <w:rsid w:val="00F94AC0"/>
    <w:rsid w:val="00F94BFD"/>
    <w:rsid w:val="00F94D45"/>
    <w:rsid w:val="00F95192"/>
    <w:rsid w:val="00F9527C"/>
    <w:rsid w:val="00F95567"/>
    <w:rsid w:val="00F95B7A"/>
    <w:rsid w:val="00F95F1E"/>
    <w:rsid w:val="00F96087"/>
    <w:rsid w:val="00F960EE"/>
    <w:rsid w:val="00F9611B"/>
    <w:rsid w:val="00F96210"/>
    <w:rsid w:val="00F96894"/>
    <w:rsid w:val="00F96A5E"/>
    <w:rsid w:val="00F96F1F"/>
    <w:rsid w:val="00F97692"/>
    <w:rsid w:val="00F976AA"/>
    <w:rsid w:val="00FA00BC"/>
    <w:rsid w:val="00FA0BA7"/>
    <w:rsid w:val="00FA0D29"/>
    <w:rsid w:val="00FA1148"/>
    <w:rsid w:val="00FA1786"/>
    <w:rsid w:val="00FA1AA8"/>
    <w:rsid w:val="00FA1BDD"/>
    <w:rsid w:val="00FA23C7"/>
    <w:rsid w:val="00FA2560"/>
    <w:rsid w:val="00FA272A"/>
    <w:rsid w:val="00FA323E"/>
    <w:rsid w:val="00FA33BB"/>
    <w:rsid w:val="00FA351A"/>
    <w:rsid w:val="00FA356E"/>
    <w:rsid w:val="00FA38EC"/>
    <w:rsid w:val="00FA569B"/>
    <w:rsid w:val="00FA5985"/>
    <w:rsid w:val="00FA60B0"/>
    <w:rsid w:val="00FA627D"/>
    <w:rsid w:val="00FA65A5"/>
    <w:rsid w:val="00FA6B96"/>
    <w:rsid w:val="00FA6D04"/>
    <w:rsid w:val="00FA6D5C"/>
    <w:rsid w:val="00FA6EAE"/>
    <w:rsid w:val="00FA6FAE"/>
    <w:rsid w:val="00FA7B0E"/>
    <w:rsid w:val="00FB0423"/>
    <w:rsid w:val="00FB077D"/>
    <w:rsid w:val="00FB0DBD"/>
    <w:rsid w:val="00FB0EAE"/>
    <w:rsid w:val="00FB0F53"/>
    <w:rsid w:val="00FB1DB1"/>
    <w:rsid w:val="00FB2482"/>
    <w:rsid w:val="00FB282E"/>
    <w:rsid w:val="00FB2919"/>
    <w:rsid w:val="00FB2F0E"/>
    <w:rsid w:val="00FB38FF"/>
    <w:rsid w:val="00FB39E0"/>
    <w:rsid w:val="00FB467A"/>
    <w:rsid w:val="00FB468E"/>
    <w:rsid w:val="00FB4788"/>
    <w:rsid w:val="00FB48CC"/>
    <w:rsid w:val="00FB4AD5"/>
    <w:rsid w:val="00FB4D99"/>
    <w:rsid w:val="00FB60C3"/>
    <w:rsid w:val="00FB6690"/>
    <w:rsid w:val="00FB6948"/>
    <w:rsid w:val="00FB703F"/>
    <w:rsid w:val="00FB76B6"/>
    <w:rsid w:val="00FB78DD"/>
    <w:rsid w:val="00FB79ED"/>
    <w:rsid w:val="00FB7ADD"/>
    <w:rsid w:val="00FB7ECB"/>
    <w:rsid w:val="00FC0032"/>
    <w:rsid w:val="00FC058C"/>
    <w:rsid w:val="00FC08CC"/>
    <w:rsid w:val="00FC0B2B"/>
    <w:rsid w:val="00FC0BF5"/>
    <w:rsid w:val="00FC0D27"/>
    <w:rsid w:val="00FC0D43"/>
    <w:rsid w:val="00FC168C"/>
    <w:rsid w:val="00FC280D"/>
    <w:rsid w:val="00FC2E83"/>
    <w:rsid w:val="00FC3140"/>
    <w:rsid w:val="00FC3616"/>
    <w:rsid w:val="00FC3CFE"/>
    <w:rsid w:val="00FC41A4"/>
    <w:rsid w:val="00FC4650"/>
    <w:rsid w:val="00FC4F61"/>
    <w:rsid w:val="00FC5068"/>
    <w:rsid w:val="00FC55C1"/>
    <w:rsid w:val="00FC57CA"/>
    <w:rsid w:val="00FC5A87"/>
    <w:rsid w:val="00FC6846"/>
    <w:rsid w:val="00FC6B4D"/>
    <w:rsid w:val="00FC6CEB"/>
    <w:rsid w:val="00FC6E73"/>
    <w:rsid w:val="00FC7355"/>
    <w:rsid w:val="00FC76A3"/>
    <w:rsid w:val="00FC7A4D"/>
    <w:rsid w:val="00FC7A7F"/>
    <w:rsid w:val="00FC7C5E"/>
    <w:rsid w:val="00FC7DBF"/>
    <w:rsid w:val="00FD119D"/>
    <w:rsid w:val="00FD1260"/>
    <w:rsid w:val="00FD1943"/>
    <w:rsid w:val="00FD25EF"/>
    <w:rsid w:val="00FD31B8"/>
    <w:rsid w:val="00FD32B5"/>
    <w:rsid w:val="00FD33C3"/>
    <w:rsid w:val="00FD3440"/>
    <w:rsid w:val="00FD37B5"/>
    <w:rsid w:val="00FD3CBB"/>
    <w:rsid w:val="00FD4C0D"/>
    <w:rsid w:val="00FD4D78"/>
    <w:rsid w:val="00FD4F42"/>
    <w:rsid w:val="00FD51D4"/>
    <w:rsid w:val="00FD5214"/>
    <w:rsid w:val="00FD5A00"/>
    <w:rsid w:val="00FD5A83"/>
    <w:rsid w:val="00FD5C48"/>
    <w:rsid w:val="00FD65A9"/>
    <w:rsid w:val="00FD6C43"/>
    <w:rsid w:val="00FD6C84"/>
    <w:rsid w:val="00FD6E18"/>
    <w:rsid w:val="00FD7176"/>
    <w:rsid w:val="00FD72B5"/>
    <w:rsid w:val="00FD7C91"/>
    <w:rsid w:val="00FD7D29"/>
    <w:rsid w:val="00FE0132"/>
    <w:rsid w:val="00FE0349"/>
    <w:rsid w:val="00FE04DE"/>
    <w:rsid w:val="00FE08ED"/>
    <w:rsid w:val="00FE0EA3"/>
    <w:rsid w:val="00FE0FFB"/>
    <w:rsid w:val="00FE10D1"/>
    <w:rsid w:val="00FE10EB"/>
    <w:rsid w:val="00FE1B34"/>
    <w:rsid w:val="00FE1C3A"/>
    <w:rsid w:val="00FE2060"/>
    <w:rsid w:val="00FE29E4"/>
    <w:rsid w:val="00FE2DCD"/>
    <w:rsid w:val="00FE36F7"/>
    <w:rsid w:val="00FE37CE"/>
    <w:rsid w:val="00FE3987"/>
    <w:rsid w:val="00FE3FD2"/>
    <w:rsid w:val="00FE41AD"/>
    <w:rsid w:val="00FE43C9"/>
    <w:rsid w:val="00FE43D2"/>
    <w:rsid w:val="00FE483C"/>
    <w:rsid w:val="00FE5F9C"/>
    <w:rsid w:val="00FE5FD1"/>
    <w:rsid w:val="00FE5FDD"/>
    <w:rsid w:val="00FE6187"/>
    <w:rsid w:val="00FE770D"/>
    <w:rsid w:val="00FE773E"/>
    <w:rsid w:val="00FE7827"/>
    <w:rsid w:val="00FE7C89"/>
    <w:rsid w:val="00FE7EC1"/>
    <w:rsid w:val="00FF050F"/>
    <w:rsid w:val="00FF052A"/>
    <w:rsid w:val="00FF07BF"/>
    <w:rsid w:val="00FF0CA7"/>
    <w:rsid w:val="00FF0E86"/>
    <w:rsid w:val="00FF1EB8"/>
    <w:rsid w:val="00FF22A5"/>
    <w:rsid w:val="00FF25F8"/>
    <w:rsid w:val="00FF2967"/>
    <w:rsid w:val="00FF2DE5"/>
    <w:rsid w:val="00FF2FF4"/>
    <w:rsid w:val="00FF35DF"/>
    <w:rsid w:val="00FF39F8"/>
    <w:rsid w:val="00FF49F4"/>
    <w:rsid w:val="00FF4C52"/>
    <w:rsid w:val="00FF4C6B"/>
    <w:rsid w:val="00FF4C90"/>
    <w:rsid w:val="00FF4E75"/>
    <w:rsid w:val="00FF58FF"/>
    <w:rsid w:val="00FF5B76"/>
    <w:rsid w:val="00FF5E1F"/>
    <w:rsid w:val="00FF5E9D"/>
    <w:rsid w:val="00FF5EE8"/>
    <w:rsid w:val="00FF6119"/>
    <w:rsid w:val="00FF6225"/>
    <w:rsid w:val="00FF640F"/>
    <w:rsid w:val="00FF6ED6"/>
    <w:rsid w:val="00FF7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5257"/>
  <w15:docId w15:val="{7674D88B-8D67-483F-B2C5-15FC0E64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0539F"/>
    <w:pPr>
      <w:spacing w:line="240" w:lineRule="auto"/>
    </w:pPr>
    <w:rPr>
      <w:rFonts w:ascii="Times New Roman" w:eastAsia="Times New Roman" w:hAnsi="Times New Roman" w:cs="Times New Roman"/>
      <w:sz w:val="24"/>
      <w:szCs w:val="24"/>
    </w:rPr>
  </w:style>
  <w:style w:type="paragraph" w:styleId="10">
    <w:name w:val="heading 1"/>
    <w:aliases w:val="numbered indent 1,ni1,h1,Hanging 1 Indent,Header 1,Numbered indent 1, Знак"/>
    <w:basedOn w:val="a2"/>
    <w:next w:val="a2"/>
    <w:link w:val="12"/>
    <w:uiPriority w:val="9"/>
    <w:qFormat/>
    <w:rsid w:val="000C65D7"/>
    <w:pPr>
      <w:keepNext/>
      <w:keepLines/>
      <w:pBdr>
        <w:bottom w:val="single" w:sz="4" w:space="1" w:color="5B9BD5" w:themeColor="accent1"/>
      </w:pBdr>
      <w:spacing w:before="400" w:after="40"/>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2"/>
    <w:next w:val="a2"/>
    <w:link w:val="20"/>
    <w:uiPriority w:val="9"/>
    <w:qFormat/>
    <w:rsid w:val="0090763C"/>
    <w:pPr>
      <w:keepNext/>
      <w:spacing w:before="240" w:after="60"/>
      <w:outlineLvl w:val="1"/>
    </w:pPr>
    <w:rPr>
      <w:rFonts w:ascii="Cambria" w:hAnsi="Cambria"/>
      <w:b/>
      <w:bCs/>
      <w:i/>
      <w:iCs/>
      <w:sz w:val="28"/>
      <w:szCs w:val="28"/>
      <w:lang w:val="x-none" w:eastAsia="ko-KR"/>
    </w:rPr>
  </w:style>
  <w:style w:type="paragraph" w:styleId="30">
    <w:name w:val="heading 3"/>
    <w:aliases w:val=" Знак Знак"/>
    <w:basedOn w:val="a2"/>
    <w:next w:val="a2"/>
    <w:link w:val="31"/>
    <w:qFormat/>
    <w:rsid w:val="00A5269A"/>
    <w:pPr>
      <w:keepNext/>
      <w:keepLines/>
      <w:tabs>
        <w:tab w:val="left" w:pos="2483"/>
        <w:tab w:val="left" w:pos="4154"/>
        <w:tab w:val="left" w:pos="5963"/>
        <w:tab w:val="left" w:pos="7495"/>
        <w:tab w:val="left" w:pos="9192"/>
      </w:tabs>
      <w:outlineLvl w:val="2"/>
    </w:pPr>
    <w:rPr>
      <w:rFonts w:ascii="Arial" w:hAnsi="Arial"/>
      <w:b/>
      <w:sz w:val="18"/>
      <w:szCs w:val="20"/>
      <w:lang w:val="en-GB"/>
    </w:rPr>
  </w:style>
  <w:style w:type="paragraph" w:styleId="4">
    <w:name w:val="heading 4"/>
    <w:basedOn w:val="a2"/>
    <w:next w:val="a2"/>
    <w:link w:val="40"/>
    <w:unhideWhenUsed/>
    <w:qFormat/>
    <w:rsid w:val="000540B0"/>
    <w:pPr>
      <w:keepNext/>
      <w:keepLines/>
      <w:spacing w:before="160" w:after="120"/>
      <w:outlineLvl w:val="3"/>
    </w:pPr>
    <w:rPr>
      <w:rFonts w:eastAsiaTheme="majorEastAsia" w:cstheme="majorBidi"/>
      <w:b/>
      <w:bCs/>
      <w:color w:val="000000" w:themeColor="text1"/>
      <w:szCs w:val="22"/>
    </w:rPr>
  </w:style>
  <w:style w:type="paragraph" w:styleId="5">
    <w:name w:val="heading 5"/>
    <w:basedOn w:val="a2"/>
    <w:next w:val="a2"/>
    <w:link w:val="50"/>
    <w:autoRedefine/>
    <w:qFormat/>
    <w:rsid w:val="0090763C"/>
    <w:pPr>
      <w:numPr>
        <w:numId w:val="1"/>
      </w:numPr>
      <w:overflowPunct w:val="0"/>
      <w:autoSpaceDE w:val="0"/>
      <w:autoSpaceDN w:val="0"/>
      <w:adjustRightInd w:val="0"/>
      <w:ind w:right="-23"/>
      <w:textAlignment w:val="baseline"/>
      <w:outlineLvl w:val="4"/>
    </w:pPr>
    <w:rPr>
      <w:rFonts w:ascii="Arial" w:hAnsi="Arial"/>
      <w:b/>
      <w:i/>
      <w:sz w:val="18"/>
      <w:lang w:val="x-none"/>
    </w:rPr>
  </w:style>
  <w:style w:type="paragraph" w:styleId="6">
    <w:name w:val="heading 6"/>
    <w:basedOn w:val="a2"/>
    <w:next w:val="a2"/>
    <w:link w:val="60"/>
    <w:qFormat/>
    <w:rsid w:val="00A5269A"/>
    <w:pPr>
      <w:keepNext/>
      <w:keepLines/>
      <w:ind w:left="228" w:hanging="228"/>
      <w:outlineLvl w:val="5"/>
    </w:pPr>
    <w:rPr>
      <w:rFonts w:ascii="Arial" w:hAnsi="Arial"/>
      <w:b/>
      <w:sz w:val="18"/>
      <w:szCs w:val="20"/>
      <w:lang w:val="en-GB"/>
    </w:rPr>
  </w:style>
  <w:style w:type="paragraph" w:styleId="7">
    <w:name w:val="heading 7"/>
    <w:basedOn w:val="a2"/>
    <w:next w:val="a2"/>
    <w:link w:val="70"/>
    <w:qFormat/>
    <w:rsid w:val="00A5269A"/>
    <w:pPr>
      <w:keepNext/>
      <w:ind w:left="228" w:hanging="228"/>
      <w:outlineLvl w:val="6"/>
    </w:pPr>
    <w:rPr>
      <w:rFonts w:ascii="Arial" w:hAnsi="Arial"/>
      <w:b/>
      <w:szCs w:val="20"/>
      <w:lang w:val="en-GB"/>
    </w:rPr>
  </w:style>
  <w:style w:type="paragraph" w:styleId="8">
    <w:name w:val="heading 8"/>
    <w:basedOn w:val="a2"/>
    <w:next w:val="a2"/>
    <w:link w:val="80"/>
    <w:qFormat/>
    <w:rsid w:val="00A5269A"/>
    <w:pPr>
      <w:keepNext/>
      <w:keepLines/>
      <w:ind w:left="228" w:hanging="228"/>
      <w:outlineLvl w:val="7"/>
    </w:pPr>
    <w:rPr>
      <w:rFonts w:ascii="Arial" w:hAnsi="Arial"/>
      <w:b/>
      <w:sz w:val="18"/>
      <w:szCs w:val="20"/>
      <w:lang w:val="en-GB"/>
    </w:rPr>
  </w:style>
  <w:style w:type="paragraph" w:styleId="9">
    <w:name w:val="heading 9"/>
    <w:basedOn w:val="a2"/>
    <w:next w:val="a2"/>
    <w:link w:val="90"/>
    <w:qFormat/>
    <w:rsid w:val="00A5269A"/>
    <w:pPr>
      <w:keepNext/>
      <w:keepLines/>
      <w:ind w:right="74"/>
      <w:outlineLvl w:val="8"/>
    </w:pPr>
    <w:rPr>
      <w:rFonts w:ascii="Arial" w:hAnsi="Arial"/>
      <w:b/>
      <w:sz w:val="18"/>
      <w:szCs w:val="20"/>
      <w:lang w:val="en-GB"/>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odd, Знак3,Знак3"/>
    <w:basedOn w:val="a2"/>
    <w:link w:val="a7"/>
    <w:uiPriority w:val="99"/>
    <w:unhideWhenUsed/>
    <w:rsid w:val="00C24577"/>
    <w:pPr>
      <w:tabs>
        <w:tab w:val="center" w:pos="4677"/>
        <w:tab w:val="right" w:pos="9355"/>
      </w:tabs>
    </w:pPr>
    <w:rPr>
      <w:rFonts w:asciiTheme="minorHAnsi" w:eastAsiaTheme="minorHAnsi" w:hAnsiTheme="minorHAnsi" w:cstheme="minorBidi"/>
      <w:sz w:val="22"/>
      <w:szCs w:val="22"/>
    </w:rPr>
  </w:style>
  <w:style w:type="character" w:customStyle="1" w:styleId="a7">
    <w:name w:val="Верхний колонтитул Знак"/>
    <w:aliases w:val="odd Знак, Знак3 Знак,Знак3 Знак"/>
    <w:basedOn w:val="a3"/>
    <w:link w:val="a6"/>
    <w:uiPriority w:val="99"/>
    <w:rsid w:val="00C24577"/>
  </w:style>
  <w:style w:type="paragraph" w:styleId="a8">
    <w:name w:val="footer"/>
    <w:basedOn w:val="a2"/>
    <w:link w:val="a9"/>
    <w:uiPriority w:val="99"/>
    <w:unhideWhenUsed/>
    <w:rsid w:val="00C24577"/>
    <w:pPr>
      <w:tabs>
        <w:tab w:val="center" w:pos="4677"/>
        <w:tab w:val="right" w:pos="9355"/>
      </w:tabs>
    </w:pPr>
    <w:rPr>
      <w:rFonts w:asciiTheme="minorHAnsi" w:eastAsiaTheme="minorHAnsi" w:hAnsiTheme="minorHAnsi" w:cstheme="minorBidi"/>
      <w:sz w:val="22"/>
      <w:szCs w:val="22"/>
    </w:rPr>
  </w:style>
  <w:style w:type="character" w:customStyle="1" w:styleId="a9">
    <w:name w:val="Нижний колонтитул Знак"/>
    <w:basedOn w:val="a3"/>
    <w:link w:val="a8"/>
    <w:uiPriority w:val="99"/>
    <w:rsid w:val="00C24577"/>
  </w:style>
  <w:style w:type="paragraph" w:styleId="aa">
    <w:name w:val="List Paragraph"/>
    <w:aliases w:val="AC List 01,маркированный,strich,2nd Tier Header,Bullets before,Elenco Normale,Heading1,Colorful List - Accent 11,Список 1,Средняя сетка 1 - Акцент 21,N_List Paragraph,References,Akapit z listą BS,List_Paragraph,Multilevel para_II,H1-1,lp1,l"/>
    <w:basedOn w:val="a2"/>
    <w:link w:val="ab"/>
    <w:uiPriority w:val="34"/>
    <w:qFormat/>
    <w:rsid w:val="004613A1"/>
    <w:pPr>
      <w:spacing w:line="259" w:lineRule="auto"/>
      <w:ind w:left="720"/>
      <w:contextualSpacing/>
    </w:pPr>
    <w:rPr>
      <w:rFonts w:asciiTheme="minorHAnsi" w:eastAsiaTheme="minorHAnsi" w:hAnsiTheme="minorHAnsi" w:cstheme="minorBidi"/>
      <w:sz w:val="22"/>
      <w:szCs w:val="22"/>
    </w:rPr>
  </w:style>
  <w:style w:type="paragraph" w:styleId="ac">
    <w:name w:val="footnote text"/>
    <w:aliases w:val="ft,single space,ADB,footnote text,FOOTNOTES,fn,(NECG) Footnote Text,Footnote Text Char Char Char Char Char,Footnote Text Char Char Char Char Char Char,(NECG) Footnote Text Char Char Char Char Char,Footnote Text Char,ft1,Geneva 9,f"/>
    <w:basedOn w:val="a2"/>
    <w:link w:val="ad"/>
    <w:uiPriority w:val="99"/>
    <w:unhideWhenUsed/>
    <w:rsid w:val="00223B47"/>
    <w:rPr>
      <w:rFonts w:asciiTheme="minorHAnsi" w:eastAsiaTheme="minorHAnsi" w:hAnsiTheme="minorHAnsi" w:cstheme="minorBidi"/>
      <w:sz w:val="20"/>
      <w:szCs w:val="20"/>
    </w:rPr>
  </w:style>
  <w:style w:type="character" w:customStyle="1" w:styleId="ad">
    <w:name w:val="Текст сноски Знак"/>
    <w:aliases w:val="ft Знак,single space Знак,ADB Знак,footnote text Знак,FOOTNOTES Знак,fn Знак,(NECG) Footnote Text Знак,Footnote Text Char Char Char Char Char Знак,Footnote Text Char Char Char Char Char Char Знак,Footnote Text Char Знак,ft1 Знак,f Знак"/>
    <w:basedOn w:val="a3"/>
    <w:link w:val="ac"/>
    <w:uiPriority w:val="99"/>
    <w:rsid w:val="00223B47"/>
    <w:rPr>
      <w:sz w:val="20"/>
      <w:szCs w:val="20"/>
    </w:rPr>
  </w:style>
  <w:style w:type="character" w:styleId="ae">
    <w:name w:val="footnote reference"/>
    <w:aliases w:val="ftref"/>
    <w:basedOn w:val="a3"/>
    <w:uiPriority w:val="99"/>
    <w:unhideWhenUsed/>
    <w:rsid w:val="00223B47"/>
    <w:rPr>
      <w:vertAlign w:val="superscript"/>
    </w:rPr>
  </w:style>
  <w:style w:type="paragraph" w:styleId="af">
    <w:name w:val="Normal (Web)"/>
    <w:aliases w:val="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Знак Знак"/>
    <w:basedOn w:val="a2"/>
    <w:link w:val="af0"/>
    <w:uiPriority w:val="99"/>
    <w:unhideWhenUsed/>
    <w:qFormat/>
    <w:rsid w:val="00223B47"/>
    <w:pPr>
      <w:spacing w:before="100" w:beforeAutospacing="1" w:after="100" w:afterAutospacing="1"/>
    </w:pPr>
    <w:rPr>
      <w:lang w:eastAsia="ru-RU"/>
    </w:rPr>
  </w:style>
  <w:style w:type="paragraph" w:styleId="af1">
    <w:name w:val="Balloon Text"/>
    <w:basedOn w:val="a2"/>
    <w:link w:val="af2"/>
    <w:uiPriority w:val="99"/>
    <w:semiHidden/>
    <w:unhideWhenUsed/>
    <w:rsid w:val="009C6703"/>
    <w:rPr>
      <w:rFonts w:ascii="Segoe UI" w:eastAsiaTheme="minorHAnsi" w:hAnsi="Segoe UI" w:cs="Segoe UI"/>
      <w:sz w:val="18"/>
      <w:szCs w:val="18"/>
    </w:rPr>
  </w:style>
  <w:style w:type="character" w:customStyle="1" w:styleId="af2">
    <w:name w:val="Текст выноски Знак"/>
    <w:basedOn w:val="a3"/>
    <w:link w:val="af1"/>
    <w:uiPriority w:val="99"/>
    <w:semiHidden/>
    <w:rsid w:val="009C6703"/>
    <w:rPr>
      <w:rFonts w:ascii="Segoe UI" w:hAnsi="Segoe UI" w:cs="Segoe UI"/>
      <w:sz w:val="18"/>
      <w:szCs w:val="18"/>
    </w:rPr>
  </w:style>
  <w:style w:type="table" w:styleId="af3">
    <w:name w:val="Table Grid"/>
    <w:aliases w:val="АудитСИтогом"/>
    <w:basedOn w:val="a4"/>
    <w:uiPriority w:val="39"/>
    <w:rsid w:val="008168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Intense Quote"/>
    <w:basedOn w:val="a2"/>
    <w:next w:val="a2"/>
    <w:link w:val="af5"/>
    <w:uiPriority w:val="30"/>
    <w:qFormat/>
    <w:rsid w:val="002E0FB4"/>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rPr>
  </w:style>
  <w:style w:type="character" w:customStyle="1" w:styleId="af5">
    <w:name w:val="Выделенная цитата Знак"/>
    <w:basedOn w:val="a3"/>
    <w:link w:val="af4"/>
    <w:uiPriority w:val="30"/>
    <w:rsid w:val="002E0FB4"/>
    <w:rPr>
      <w:i/>
      <w:iCs/>
      <w:color w:val="5B9BD5" w:themeColor="accent1"/>
    </w:rPr>
  </w:style>
  <w:style w:type="paragraph" w:customStyle="1" w:styleId="13">
    <w:name w:val="Стиль1"/>
    <w:basedOn w:val="af4"/>
    <w:link w:val="14"/>
    <w:qFormat/>
    <w:rsid w:val="002E0FB4"/>
    <w:pPr>
      <w:tabs>
        <w:tab w:val="left" w:pos="2552"/>
      </w:tabs>
      <w:spacing w:before="0" w:after="0" w:line="240" w:lineRule="auto"/>
      <w:ind w:left="0" w:right="130"/>
    </w:pPr>
    <w:rPr>
      <w:color w:val="auto"/>
    </w:rPr>
  </w:style>
  <w:style w:type="paragraph" w:customStyle="1" w:styleId="21">
    <w:name w:val="Стиль2"/>
    <w:basedOn w:val="13"/>
    <w:link w:val="22"/>
    <w:autoRedefine/>
    <w:qFormat/>
    <w:rsid w:val="001942D1"/>
    <w:pPr>
      <w:pBdr>
        <w:bottom w:val="single" w:sz="4" w:space="0" w:color="5B9BD5" w:themeColor="accent1"/>
      </w:pBdr>
    </w:pPr>
    <w:rPr>
      <w:rFonts w:ascii="Candara" w:hAnsi="Candara"/>
      <w:color w:val="1F4E79" w:themeColor="accent1" w:themeShade="80"/>
    </w:rPr>
  </w:style>
  <w:style w:type="character" w:customStyle="1" w:styleId="14">
    <w:name w:val="Стиль1 Знак"/>
    <w:basedOn w:val="af5"/>
    <w:link w:val="13"/>
    <w:rsid w:val="002E0FB4"/>
    <w:rPr>
      <w:i/>
      <w:iCs/>
      <w:color w:val="5B9BD5" w:themeColor="accent1"/>
    </w:rPr>
  </w:style>
  <w:style w:type="table" w:customStyle="1" w:styleId="210">
    <w:name w:val="Таблица простая 21"/>
    <w:basedOn w:val="a4"/>
    <w:uiPriority w:val="42"/>
    <w:rsid w:val="004A7CC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2">
    <w:name w:val="Стиль2 Знак"/>
    <w:basedOn w:val="14"/>
    <w:link w:val="21"/>
    <w:rsid w:val="001942D1"/>
    <w:rPr>
      <w:rFonts w:ascii="Candara" w:hAnsi="Candara"/>
      <w:i/>
      <w:iCs/>
      <w:color w:val="1F4E79" w:themeColor="accent1" w:themeShade="80"/>
    </w:rPr>
  </w:style>
  <w:style w:type="table" w:customStyle="1" w:styleId="-21">
    <w:name w:val="Список-таблица 21"/>
    <w:basedOn w:val="a4"/>
    <w:uiPriority w:val="47"/>
    <w:rsid w:val="00AB518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style-span">
    <w:name w:val="apple-style-span"/>
    <w:basedOn w:val="a3"/>
    <w:rsid w:val="003207FA"/>
  </w:style>
  <w:style w:type="character" w:customStyle="1" w:styleId="12">
    <w:name w:val="Заголовок 1 Знак"/>
    <w:aliases w:val="numbered indent 1 Знак,ni1 Знак,h1 Знак,Hanging 1 Indent Знак,Header 1 Знак,Numbered indent 1 Знак, Знак Знак1"/>
    <w:basedOn w:val="a3"/>
    <w:link w:val="10"/>
    <w:uiPriority w:val="9"/>
    <w:rsid w:val="000C65D7"/>
    <w:rPr>
      <w:rFonts w:asciiTheme="majorHAnsi" w:eastAsiaTheme="majorEastAsia" w:hAnsiTheme="majorHAnsi" w:cstheme="majorBidi"/>
      <w:color w:val="2E74B5" w:themeColor="accent1" w:themeShade="BF"/>
      <w:sz w:val="36"/>
      <w:szCs w:val="36"/>
    </w:rPr>
  </w:style>
  <w:style w:type="character" w:styleId="af6">
    <w:name w:val="Hyperlink"/>
    <w:basedOn w:val="a3"/>
    <w:uiPriority w:val="99"/>
    <w:unhideWhenUsed/>
    <w:rsid w:val="000121BE"/>
    <w:rPr>
      <w:color w:val="0563C1" w:themeColor="hyperlink"/>
      <w:u w:val="single"/>
    </w:rPr>
  </w:style>
  <w:style w:type="paragraph" w:customStyle="1" w:styleId="af7">
    <w:name w:val="Наименование"/>
    <w:basedOn w:val="a2"/>
    <w:next w:val="a2"/>
    <w:rsid w:val="00EE1A8D"/>
    <w:pPr>
      <w:spacing w:before="200" w:after="200"/>
      <w:jc w:val="center"/>
    </w:pPr>
    <w:rPr>
      <w:b/>
      <w:color w:val="000000"/>
      <w:sz w:val="22"/>
      <w:szCs w:val="20"/>
      <w:lang w:eastAsia="ru-RU"/>
    </w:rPr>
  </w:style>
  <w:style w:type="character" w:customStyle="1" w:styleId="apple-converted-space">
    <w:name w:val="apple-converted-space"/>
    <w:basedOn w:val="a3"/>
    <w:rsid w:val="00B40BDF"/>
  </w:style>
  <w:style w:type="character" w:styleId="af8">
    <w:name w:val="Emphasis"/>
    <w:basedOn w:val="a3"/>
    <w:uiPriority w:val="20"/>
    <w:qFormat/>
    <w:rsid w:val="004040F0"/>
    <w:rPr>
      <w:i/>
      <w:iCs/>
    </w:rPr>
  </w:style>
  <w:style w:type="table" w:customStyle="1" w:styleId="-111">
    <w:name w:val="Таблица-сетка 1 светлая — акцент 11"/>
    <w:basedOn w:val="a4"/>
    <w:uiPriority w:val="46"/>
    <w:rsid w:val="000C1432"/>
    <w:pPr>
      <w:spacing w:line="240" w:lineRule="auto"/>
    </w:pPr>
    <w:rPr>
      <w:rFonts w:ascii="Calibri" w:eastAsia="Calibri" w:hAnsi="Calibri" w:cs="Times New Roman"/>
      <w:sz w:val="20"/>
      <w:szCs w:val="20"/>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af9">
    <w:name w:val="page number"/>
    <w:basedOn w:val="a3"/>
    <w:rsid w:val="00EF5E43"/>
  </w:style>
  <w:style w:type="character" w:customStyle="1" w:styleId="ab">
    <w:name w:val="Абзац списка Знак"/>
    <w:aliases w:val="AC List 01 Знак,маркированный Знак,strich Знак,2nd Tier Header Знак,Bullets before Знак,Elenco Normale Знак,Heading1 Знак,Colorful List - Accent 11 Знак,Список 1 Знак,Средняя сетка 1 - Акцент 21 Знак,N_List Paragraph Знак,H1-1 Знак"/>
    <w:link w:val="aa"/>
    <w:uiPriority w:val="34"/>
    <w:qFormat/>
    <w:locked/>
    <w:rsid w:val="001C2D83"/>
  </w:style>
  <w:style w:type="character" w:customStyle="1" w:styleId="20">
    <w:name w:val="Заголовок 2 Знак"/>
    <w:basedOn w:val="a3"/>
    <w:link w:val="2"/>
    <w:uiPriority w:val="9"/>
    <w:rsid w:val="0090763C"/>
    <w:rPr>
      <w:rFonts w:ascii="Cambria" w:eastAsia="Times New Roman" w:hAnsi="Cambria" w:cs="Times New Roman"/>
      <w:b/>
      <w:bCs/>
      <w:i/>
      <w:iCs/>
      <w:sz w:val="28"/>
      <w:szCs w:val="28"/>
      <w:lang w:val="x-none" w:eastAsia="ko-KR"/>
    </w:rPr>
  </w:style>
  <w:style w:type="character" w:customStyle="1" w:styleId="50">
    <w:name w:val="Заголовок 5 Знак"/>
    <w:basedOn w:val="a3"/>
    <w:link w:val="5"/>
    <w:rsid w:val="0090763C"/>
    <w:rPr>
      <w:rFonts w:ascii="Arial" w:eastAsia="Times New Roman" w:hAnsi="Arial" w:cs="Times New Roman"/>
      <w:b/>
      <w:i/>
      <w:sz w:val="18"/>
      <w:szCs w:val="24"/>
      <w:lang w:val="x-none"/>
    </w:rPr>
  </w:style>
  <w:style w:type="character" w:styleId="afa">
    <w:name w:val="Strong"/>
    <w:uiPriority w:val="22"/>
    <w:qFormat/>
    <w:rsid w:val="0090763C"/>
    <w:rPr>
      <w:b/>
      <w:bCs/>
    </w:rPr>
  </w:style>
  <w:style w:type="paragraph" w:styleId="afb">
    <w:name w:val="Body Text"/>
    <w:basedOn w:val="a2"/>
    <w:link w:val="afc"/>
    <w:uiPriority w:val="99"/>
    <w:rsid w:val="0090763C"/>
    <w:pPr>
      <w:widowControl w:val="0"/>
      <w:jc w:val="both"/>
    </w:pPr>
    <w:rPr>
      <w:snapToGrid w:val="0"/>
      <w:szCs w:val="20"/>
      <w:lang w:val="x-none" w:eastAsia="x-none"/>
    </w:rPr>
  </w:style>
  <w:style w:type="character" w:customStyle="1" w:styleId="afc">
    <w:name w:val="Основной текст Знак"/>
    <w:basedOn w:val="a3"/>
    <w:link w:val="afb"/>
    <w:uiPriority w:val="99"/>
    <w:rsid w:val="0090763C"/>
    <w:rPr>
      <w:rFonts w:ascii="Times New Roman" w:eastAsia="Times New Roman" w:hAnsi="Times New Roman" w:cs="Times New Roman"/>
      <w:snapToGrid w:val="0"/>
      <w:sz w:val="24"/>
      <w:szCs w:val="20"/>
      <w:lang w:val="x-none" w:eastAsia="x-none"/>
    </w:rPr>
  </w:style>
  <w:style w:type="paragraph" w:styleId="23">
    <w:name w:val="Body Text Indent 2"/>
    <w:basedOn w:val="a2"/>
    <w:link w:val="24"/>
    <w:uiPriority w:val="99"/>
    <w:rsid w:val="0090763C"/>
    <w:pPr>
      <w:spacing w:after="120" w:line="480" w:lineRule="auto"/>
      <w:ind w:left="283"/>
    </w:pPr>
    <w:rPr>
      <w:rFonts w:eastAsia="Batang"/>
      <w:lang w:eastAsia="ko-KR"/>
    </w:rPr>
  </w:style>
  <w:style w:type="character" w:customStyle="1" w:styleId="24">
    <w:name w:val="Основной текст с отступом 2 Знак"/>
    <w:basedOn w:val="a3"/>
    <w:link w:val="23"/>
    <w:uiPriority w:val="99"/>
    <w:rsid w:val="0090763C"/>
    <w:rPr>
      <w:rFonts w:ascii="Times New Roman" w:eastAsia="Batang" w:hAnsi="Times New Roman" w:cs="Times New Roman"/>
      <w:sz w:val="24"/>
      <w:szCs w:val="24"/>
      <w:lang w:eastAsia="ko-KR"/>
    </w:rPr>
  </w:style>
  <w:style w:type="table" w:styleId="-1">
    <w:name w:val="Table Web 1"/>
    <w:basedOn w:val="a4"/>
    <w:rsid w:val="0090763C"/>
    <w:pPr>
      <w:spacing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d">
    <w:name w:val="Знак"/>
    <w:basedOn w:val="a2"/>
    <w:rsid w:val="0090763C"/>
    <w:pPr>
      <w:tabs>
        <w:tab w:val="left" w:pos="2160"/>
      </w:tabs>
      <w:bidi/>
      <w:spacing w:before="120" w:line="240" w:lineRule="exact"/>
      <w:jc w:val="both"/>
    </w:pPr>
    <w:rPr>
      <w:lang w:val="en-US" w:eastAsia="ru-RU" w:bidi="he-IL"/>
    </w:rPr>
  </w:style>
  <w:style w:type="paragraph" w:styleId="32">
    <w:name w:val="Body Text Indent 3"/>
    <w:basedOn w:val="a2"/>
    <w:link w:val="33"/>
    <w:rsid w:val="0090763C"/>
    <w:pPr>
      <w:spacing w:after="120"/>
      <w:ind w:left="283"/>
    </w:pPr>
    <w:rPr>
      <w:rFonts w:eastAsia="Batang"/>
      <w:sz w:val="16"/>
      <w:szCs w:val="16"/>
      <w:lang w:eastAsia="ko-KR"/>
    </w:rPr>
  </w:style>
  <w:style w:type="character" w:customStyle="1" w:styleId="33">
    <w:name w:val="Основной текст с отступом 3 Знак"/>
    <w:basedOn w:val="a3"/>
    <w:link w:val="32"/>
    <w:rsid w:val="0090763C"/>
    <w:rPr>
      <w:rFonts w:ascii="Times New Roman" w:eastAsia="Batang" w:hAnsi="Times New Roman" w:cs="Times New Roman"/>
      <w:sz w:val="16"/>
      <w:szCs w:val="16"/>
      <w:lang w:eastAsia="ko-KR"/>
    </w:rPr>
  </w:style>
  <w:style w:type="paragraph" w:styleId="afe">
    <w:name w:val="Block Text"/>
    <w:basedOn w:val="a2"/>
    <w:rsid w:val="0090763C"/>
    <w:pPr>
      <w:widowControl w:val="0"/>
      <w:adjustRightInd w:val="0"/>
      <w:spacing w:line="360" w:lineRule="atLeast"/>
      <w:ind w:left="-284" w:right="-142" w:firstLine="568"/>
      <w:jc w:val="both"/>
      <w:textAlignment w:val="baseline"/>
    </w:pPr>
    <w:rPr>
      <w:snapToGrid w:val="0"/>
      <w:color w:val="000000"/>
      <w:szCs w:val="20"/>
      <w:lang w:eastAsia="ru-RU"/>
    </w:rPr>
  </w:style>
  <w:style w:type="character" w:customStyle="1" w:styleId="s0">
    <w:name w:val="s0"/>
    <w:qFormat/>
    <w:rsid w:val="0090763C"/>
    <w:rPr>
      <w:rFonts w:ascii="Times New Roman" w:hAnsi="Times New Roman" w:cs="Times New Roman" w:hint="default"/>
      <w:bCs w:val="0"/>
      <w:dstrike w:val="0"/>
      <w:color w:val="000000"/>
      <w:sz w:val="24"/>
      <w:szCs w:val="24"/>
      <w:u w:val="none"/>
      <w:effect w:val="none"/>
    </w:rPr>
  </w:style>
  <w:style w:type="paragraph" w:customStyle="1" w:styleId="newstext">
    <w:name w:val="newstext"/>
    <w:basedOn w:val="a2"/>
    <w:rsid w:val="0090763C"/>
    <w:pPr>
      <w:spacing w:before="100" w:beforeAutospacing="1" w:after="100" w:afterAutospacing="1"/>
    </w:pPr>
    <w:rPr>
      <w:rFonts w:ascii="Arial" w:eastAsia="Arial Unicode MS" w:hAnsi="Arial" w:cs="Arial"/>
      <w:color w:val="000000"/>
      <w:sz w:val="18"/>
      <w:szCs w:val="18"/>
      <w:lang w:val="en-US"/>
    </w:rPr>
  </w:style>
  <w:style w:type="paragraph" w:customStyle="1" w:styleId="aff">
    <w:name w:val="Знак Знак Знак"/>
    <w:basedOn w:val="a2"/>
    <w:autoRedefine/>
    <w:rsid w:val="0090763C"/>
    <w:pPr>
      <w:spacing w:after="160" w:line="240" w:lineRule="exact"/>
    </w:pPr>
    <w:rPr>
      <w:rFonts w:eastAsia="SimSun"/>
      <w:b/>
      <w:sz w:val="28"/>
      <w:lang w:val="en-US"/>
    </w:rPr>
  </w:style>
  <w:style w:type="paragraph" w:styleId="25">
    <w:name w:val="Body Text 2"/>
    <w:basedOn w:val="a2"/>
    <w:link w:val="26"/>
    <w:rsid w:val="0090763C"/>
    <w:pPr>
      <w:spacing w:after="120" w:line="480" w:lineRule="auto"/>
    </w:pPr>
    <w:rPr>
      <w:rFonts w:eastAsia="Batang"/>
      <w:lang w:eastAsia="ko-KR"/>
    </w:rPr>
  </w:style>
  <w:style w:type="character" w:customStyle="1" w:styleId="26">
    <w:name w:val="Основной текст 2 Знак"/>
    <w:basedOn w:val="a3"/>
    <w:link w:val="25"/>
    <w:rsid w:val="0090763C"/>
    <w:rPr>
      <w:rFonts w:ascii="Times New Roman" w:eastAsia="Batang" w:hAnsi="Times New Roman" w:cs="Times New Roman"/>
      <w:sz w:val="24"/>
      <w:szCs w:val="24"/>
      <w:lang w:eastAsia="ko-KR"/>
    </w:rPr>
  </w:style>
  <w:style w:type="paragraph" w:customStyle="1" w:styleId="15">
    <w:name w:val="Знак Знак Знак Знак Знак Знак Знак Знак Знак1 Знак"/>
    <w:basedOn w:val="a2"/>
    <w:autoRedefine/>
    <w:rsid w:val="0090763C"/>
    <w:pPr>
      <w:spacing w:after="160" w:line="240" w:lineRule="exact"/>
    </w:pPr>
    <w:rPr>
      <w:rFonts w:eastAsia="SimSun"/>
      <w:b/>
      <w:sz w:val="28"/>
      <w:lang w:val="en-US"/>
    </w:rPr>
  </w:style>
  <w:style w:type="character" w:customStyle="1" w:styleId="16">
    <w:name w:val="Знак Знак1"/>
    <w:rsid w:val="0090763C"/>
    <w:rPr>
      <w:rFonts w:eastAsia="Batang"/>
      <w:lang w:val="ru-RU" w:eastAsia="ko-KR" w:bidi="ar-SA"/>
    </w:rPr>
  </w:style>
  <w:style w:type="table" w:styleId="-3">
    <w:name w:val="Table List 3"/>
    <w:basedOn w:val="a4"/>
    <w:rsid w:val="0090763C"/>
    <w:pPr>
      <w:spacing w:line="240" w:lineRule="auto"/>
    </w:pPr>
    <w:rPr>
      <w:rFonts w:ascii="Times New Roman" w:eastAsia="Batang"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aff0">
    <w:name w:val="Body Text Indent"/>
    <w:basedOn w:val="a2"/>
    <w:link w:val="aff1"/>
    <w:rsid w:val="0090763C"/>
    <w:pPr>
      <w:spacing w:after="120"/>
      <w:ind w:left="283"/>
    </w:pPr>
    <w:rPr>
      <w:rFonts w:eastAsia="Batang"/>
      <w:lang w:val="x-none" w:eastAsia="ko-KR"/>
    </w:rPr>
  </w:style>
  <w:style w:type="character" w:customStyle="1" w:styleId="aff1">
    <w:name w:val="Основной текст с отступом Знак"/>
    <w:basedOn w:val="a3"/>
    <w:link w:val="aff0"/>
    <w:rsid w:val="0090763C"/>
    <w:rPr>
      <w:rFonts w:ascii="Times New Roman" w:eastAsia="Batang" w:hAnsi="Times New Roman" w:cs="Times New Roman"/>
      <w:sz w:val="24"/>
      <w:szCs w:val="24"/>
      <w:lang w:val="x-none" w:eastAsia="ko-KR"/>
    </w:rPr>
  </w:style>
  <w:style w:type="paragraph" w:customStyle="1" w:styleId="17">
    <w:name w:val="Абзац списка1"/>
    <w:basedOn w:val="a2"/>
    <w:rsid w:val="0090763C"/>
    <w:pPr>
      <w:spacing w:after="200" w:line="276" w:lineRule="auto"/>
      <w:ind w:left="720"/>
    </w:pPr>
    <w:rPr>
      <w:rFonts w:ascii="Calibri" w:hAnsi="Calibri"/>
      <w:sz w:val="22"/>
      <w:szCs w:val="22"/>
    </w:rPr>
  </w:style>
  <w:style w:type="character" w:customStyle="1" w:styleId="s1">
    <w:name w:val="s1"/>
    <w:rsid w:val="0090763C"/>
    <w:rPr>
      <w:rFonts w:ascii="Times New Roman" w:hAnsi="Times New Roman" w:cs="Times New Roman" w:hint="default"/>
      <w:b/>
      <w:bCs/>
      <w:i w:val="0"/>
      <w:iCs w:val="0"/>
      <w:strike w:val="0"/>
      <w:dstrike w:val="0"/>
      <w:color w:val="000000"/>
      <w:sz w:val="28"/>
      <w:szCs w:val="28"/>
      <w:u w:val="none"/>
      <w:effect w:val="none"/>
    </w:rPr>
  </w:style>
  <w:style w:type="paragraph" w:customStyle="1" w:styleId="000Normal">
    <w:name w:val="000 Normal"/>
    <w:basedOn w:val="a2"/>
    <w:link w:val="000Normal0"/>
    <w:rsid w:val="0090763C"/>
    <w:pPr>
      <w:overflowPunct w:val="0"/>
      <w:autoSpaceDE w:val="0"/>
      <w:autoSpaceDN w:val="0"/>
      <w:adjustRightInd w:val="0"/>
      <w:spacing w:before="60" w:after="40" w:line="220" w:lineRule="exact"/>
      <w:jc w:val="both"/>
      <w:textAlignment w:val="baseline"/>
    </w:pPr>
    <w:rPr>
      <w:rFonts w:ascii="Garamond" w:eastAsia="Batang" w:hAnsi="Garamond"/>
      <w:sz w:val="20"/>
      <w:szCs w:val="20"/>
      <w:lang w:val="en-GB"/>
    </w:rPr>
  </w:style>
  <w:style w:type="paragraph" w:styleId="aff2">
    <w:name w:val="table of figures"/>
    <w:basedOn w:val="a2"/>
    <w:next w:val="a2"/>
    <w:semiHidden/>
    <w:rsid w:val="0090763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567" w:hanging="567"/>
    </w:pPr>
    <w:rPr>
      <w:rFonts w:ascii="Arial" w:hAnsi="Arial" w:cs="Times"/>
      <w:sz w:val="18"/>
      <w:szCs w:val="20"/>
      <w:lang w:val="en-GB"/>
    </w:rPr>
  </w:style>
  <w:style w:type="character" w:customStyle="1" w:styleId="000Normal0">
    <w:name w:val="000 Normal Знак"/>
    <w:link w:val="000Normal"/>
    <w:rsid w:val="0090763C"/>
    <w:rPr>
      <w:rFonts w:ascii="Garamond" w:eastAsia="Batang" w:hAnsi="Garamond" w:cs="Times New Roman"/>
      <w:sz w:val="20"/>
      <w:szCs w:val="20"/>
      <w:lang w:val="en-GB"/>
    </w:rPr>
  </w:style>
  <w:style w:type="paragraph" w:customStyle="1" w:styleId="Style1">
    <w:name w:val="Style1"/>
    <w:basedOn w:val="a2"/>
    <w:qFormat/>
    <w:rsid w:val="0090763C"/>
    <w:pPr>
      <w:overflowPunct w:val="0"/>
      <w:autoSpaceDE w:val="0"/>
      <w:autoSpaceDN w:val="0"/>
      <w:adjustRightInd w:val="0"/>
      <w:spacing w:before="120"/>
      <w:jc w:val="both"/>
      <w:textAlignment w:val="baseline"/>
    </w:pPr>
    <w:rPr>
      <w:rFonts w:ascii="Garamond" w:hAnsi="Garamond" w:cs="Arial"/>
      <w:sz w:val="20"/>
      <w:szCs w:val="20"/>
    </w:rPr>
  </w:style>
  <w:style w:type="character" w:customStyle="1" w:styleId="FontStyle14">
    <w:name w:val="Font Style14"/>
    <w:uiPriority w:val="99"/>
    <w:rsid w:val="0090763C"/>
    <w:rPr>
      <w:rFonts w:ascii="Times New Roman" w:hAnsi="Times New Roman" w:cs="Times New Roman"/>
      <w:sz w:val="24"/>
      <w:szCs w:val="24"/>
    </w:rPr>
  </w:style>
  <w:style w:type="paragraph" w:customStyle="1" w:styleId="Style6">
    <w:name w:val="Style6"/>
    <w:basedOn w:val="a2"/>
    <w:qFormat/>
    <w:rsid w:val="0090763C"/>
    <w:pPr>
      <w:widowControl w:val="0"/>
      <w:autoSpaceDE w:val="0"/>
      <w:autoSpaceDN w:val="0"/>
      <w:adjustRightInd w:val="0"/>
      <w:spacing w:line="318" w:lineRule="exact"/>
      <w:ind w:firstLine="739"/>
      <w:jc w:val="both"/>
    </w:pPr>
    <w:rPr>
      <w:lang w:eastAsia="ru-RU"/>
    </w:rPr>
  </w:style>
  <w:style w:type="paragraph" w:customStyle="1" w:styleId="18">
    <w:name w:val="Знак Знак Знак1 Знак Знак Знак Знак Знак Знак Знак Знак Знак Знак Знак Знак Знак Знак Знак Знак Знак Знак Знак Знак Знак Знак"/>
    <w:basedOn w:val="a2"/>
    <w:autoRedefine/>
    <w:rsid w:val="0090763C"/>
    <w:pPr>
      <w:spacing w:after="160" w:line="240" w:lineRule="exact"/>
    </w:pPr>
    <w:rPr>
      <w:rFonts w:eastAsia="SimSun"/>
      <w:b/>
      <w:sz w:val="28"/>
      <w:lang w:val="en-US"/>
    </w:rPr>
  </w:style>
  <w:style w:type="paragraph" w:customStyle="1" w:styleId="200Tableleft">
    <w:name w:val="200 Table left"/>
    <w:basedOn w:val="000Normal"/>
    <w:link w:val="200Tableleft0"/>
    <w:rsid w:val="0090763C"/>
    <w:pPr>
      <w:spacing w:before="20" w:after="0" w:line="200" w:lineRule="exact"/>
      <w:jc w:val="left"/>
    </w:pPr>
  </w:style>
  <w:style w:type="paragraph" w:customStyle="1" w:styleId="201Tableleftindent1">
    <w:name w:val="201 Table left indent 1"/>
    <w:basedOn w:val="200Tableleft"/>
    <w:rsid w:val="0090763C"/>
    <w:pPr>
      <w:ind w:left="170" w:hanging="170"/>
    </w:pPr>
  </w:style>
  <w:style w:type="paragraph" w:customStyle="1" w:styleId="ListParagraph1">
    <w:name w:val="List Paragraph1"/>
    <w:basedOn w:val="a2"/>
    <w:rsid w:val="0090763C"/>
    <w:pPr>
      <w:spacing w:after="200" w:line="276" w:lineRule="auto"/>
      <w:ind w:left="720"/>
    </w:pPr>
    <w:rPr>
      <w:rFonts w:ascii="Calibri" w:hAnsi="Calibri"/>
      <w:sz w:val="22"/>
      <w:szCs w:val="22"/>
    </w:rPr>
  </w:style>
  <w:style w:type="paragraph" w:customStyle="1" w:styleId="19">
    <w:name w:val="1 Знак Знак Знак Знак Знак Знак Знак Знак Знак Знак"/>
    <w:basedOn w:val="a2"/>
    <w:autoRedefine/>
    <w:rsid w:val="0090763C"/>
    <w:pPr>
      <w:spacing w:after="160" w:line="240" w:lineRule="exact"/>
    </w:pPr>
    <w:rPr>
      <w:rFonts w:eastAsia="SimSun"/>
      <w:b/>
      <w:sz w:val="28"/>
      <w:lang w:val="en-US"/>
    </w:rPr>
  </w:style>
  <w:style w:type="paragraph" w:styleId="aff3">
    <w:name w:val="Plain Text"/>
    <w:basedOn w:val="a2"/>
    <w:link w:val="aff4"/>
    <w:rsid w:val="0090763C"/>
    <w:rPr>
      <w:rFonts w:ascii="Courier New" w:hAnsi="Courier New"/>
      <w:sz w:val="20"/>
      <w:szCs w:val="20"/>
      <w:lang w:val="x-none" w:eastAsia="x-none"/>
    </w:rPr>
  </w:style>
  <w:style w:type="character" w:customStyle="1" w:styleId="aff4">
    <w:name w:val="Текст Знак"/>
    <w:basedOn w:val="a3"/>
    <w:link w:val="aff3"/>
    <w:rsid w:val="0090763C"/>
    <w:rPr>
      <w:rFonts w:ascii="Courier New" w:eastAsia="Times New Roman" w:hAnsi="Courier New" w:cs="Times New Roman"/>
      <w:sz w:val="20"/>
      <w:szCs w:val="20"/>
      <w:lang w:val="x-none" w:eastAsia="x-none"/>
    </w:rPr>
  </w:style>
  <w:style w:type="paragraph" w:customStyle="1" w:styleId="1a">
    <w:name w:val="Знак1"/>
    <w:basedOn w:val="a2"/>
    <w:next w:val="2"/>
    <w:autoRedefine/>
    <w:rsid w:val="0090763C"/>
    <w:pPr>
      <w:spacing w:after="160" w:line="240" w:lineRule="exact"/>
      <w:jc w:val="center"/>
    </w:pPr>
    <w:rPr>
      <w:b/>
      <w:i/>
      <w:sz w:val="28"/>
      <w:szCs w:val="28"/>
      <w:lang w:val="en-US"/>
    </w:rPr>
  </w:style>
  <w:style w:type="paragraph" w:customStyle="1" w:styleId="27">
    <w:name w:val="Абзац списка2"/>
    <w:basedOn w:val="a2"/>
    <w:rsid w:val="0090763C"/>
    <w:pPr>
      <w:ind w:left="720" w:firstLine="709"/>
      <w:jc w:val="both"/>
    </w:pPr>
    <w:rPr>
      <w:rFonts w:eastAsia="Batang"/>
      <w:lang w:eastAsia="ko-KR"/>
    </w:rPr>
  </w:style>
  <w:style w:type="paragraph" w:styleId="aff5">
    <w:name w:val="caption"/>
    <w:basedOn w:val="a2"/>
    <w:qFormat/>
    <w:rsid w:val="0090763C"/>
    <w:pPr>
      <w:jc w:val="center"/>
    </w:pPr>
    <w:rPr>
      <w:szCs w:val="20"/>
      <w:lang w:eastAsia="ru-RU"/>
    </w:rPr>
  </w:style>
  <w:style w:type="paragraph" w:customStyle="1" w:styleId="Tabletextbold">
    <w:name w:val="Table text bold"/>
    <w:basedOn w:val="a2"/>
    <w:rsid w:val="0090763C"/>
    <w:pPr>
      <w:overflowPunct w:val="0"/>
      <w:autoSpaceDE w:val="0"/>
      <w:autoSpaceDN w:val="0"/>
      <w:adjustRightInd w:val="0"/>
      <w:ind w:left="177" w:hanging="177"/>
      <w:textAlignment w:val="baseline"/>
    </w:pPr>
    <w:rPr>
      <w:rFonts w:cs="Times"/>
      <w:b/>
      <w:bCs/>
      <w:sz w:val="22"/>
      <w:szCs w:val="22"/>
      <w:lang w:val="en-GB"/>
    </w:rPr>
  </w:style>
  <w:style w:type="paragraph" w:customStyle="1" w:styleId="41">
    <w:name w:val="Знак4 Знак Знак Знак Знак Знак Знак Знак Знак1 Знак"/>
    <w:basedOn w:val="a2"/>
    <w:autoRedefine/>
    <w:rsid w:val="0090763C"/>
    <w:pPr>
      <w:spacing w:after="160" w:line="240" w:lineRule="exact"/>
    </w:pPr>
    <w:rPr>
      <w:rFonts w:eastAsia="SimSun"/>
      <w:b/>
      <w:sz w:val="28"/>
      <w:lang w:val="en-US"/>
    </w:rPr>
  </w:style>
  <w:style w:type="paragraph" w:customStyle="1" w:styleId="410">
    <w:name w:val="Знак4 Знак Знак Знак Знак Знак Знак Знак Знак1 Знак Знак Знак Знак"/>
    <w:basedOn w:val="a2"/>
    <w:autoRedefine/>
    <w:rsid w:val="0090763C"/>
    <w:pPr>
      <w:spacing w:after="160" w:line="240" w:lineRule="exact"/>
    </w:pPr>
    <w:rPr>
      <w:rFonts w:eastAsia="SimSun"/>
      <w:b/>
      <w:sz w:val="28"/>
      <w:lang w:val="en-US"/>
    </w:rPr>
  </w:style>
  <w:style w:type="character" w:customStyle="1" w:styleId="FontStyle69">
    <w:name w:val="Font Style69"/>
    <w:rsid w:val="0090763C"/>
    <w:rPr>
      <w:rFonts w:ascii="Times New Roman" w:hAnsi="Times New Roman" w:cs="Times New Roman"/>
      <w:sz w:val="18"/>
      <w:szCs w:val="18"/>
    </w:rPr>
  </w:style>
  <w:style w:type="paragraph" w:customStyle="1" w:styleId="ConsNormal">
    <w:name w:val="ConsNormal"/>
    <w:rsid w:val="0090763C"/>
    <w:pPr>
      <w:spacing w:line="240" w:lineRule="auto"/>
      <w:ind w:firstLine="720"/>
    </w:pPr>
    <w:rPr>
      <w:rFonts w:ascii="Consultant" w:eastAsia="Times New Roman" w:hAnsi="Consultant" w:cs="Times New Roman"/>
      <w:snapToGrid w:val="0"/>
      <w:sz w:val="20"/>
      <w:szCs w:val="20"/>
      <w:lang w:eastAsia="ru-RU"/>
    </w:rPr>
  </w:style>
  <w:style w:type="character" w:customStyle="1" w:styleId="af0">
    <w:name w:val="Обычный (Интернет) Знак"/>
    <w:aliases w:val="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
    <w:uiPriority w:val="99"/>
    <w:rsid w:val="0090763C"/>
    <w:rPr>
      <w:rFonts w:ascii="Times New Roman" w:eastAsia="Times New Roman" w:hAnsi="Times New Roman" w:cs="Times New Roman"/>
      <w:sz w:val="24"/>
      <w:szCs w:val="24"/>
      <w:lang w:eastAsia="ru-RU"/>
    </w:rPr>
  </w:style>
  <w:style w:type="paragraph" w:customStyle="1" w:styleId="06032012222">
    <w:name w:val="06.03.2012 222"/>
    <w:basedOn w:val="a2"/>
    <w:qFormat/>
    <w:rsid w:val="0090763C"/>
    <w:pPr>
      <w:overflowPunct w:val="0"/>
      <w:autoSpaceDE w:val="0"/>
      <w:autoSpaceDN w:val="0"/>
      <w:adjustRightInd w:val="0"/>
      <w:spacing w:before="120"/>
      <w:jc w:val="both"/>
      <w:textAlignment w:val="baseline"/>
    </w:pPr>
    <w:rPr>
      <w:rFonts w:ascii="Garamond" w:hAnsi="Garamond" w:cs="Arial"/>
      <w:sz w:val="20"/>
      <w:szCs w:val="20"/>
    </w:rPr>
  </w:style>
  <w:style w:type="paragraph" w:customStyle="1" w:styleId="470HeaderOdd3">
    <w:name w:val="470 Header Odd 3"/>
    <w:basedOn w:val="a2"/>
    <w:rsid w:val="0090763C"/>
    <w:pPr>
      <w:overflowPunct w:val="0"/>
      <w:autoSpaceDE w:val="0"/>
      <w:autoSpaceDN w:val="0"/>
      <w:adjustRightInd w:val="0"/>
      <w:textAlignment w:val="baseline"/>
    </w:pPr>
    <w:rPr>
      <w:rFonts w:ascii="Garamond" w:hAnsi="Garamond"/>
      <w:b/>
      <w:szCs w:val="20"/>
      <w:lang w:val="en-GB"/>
    </w:rPr>
  </w:style>
  <w:style w:type="character" w:styleId="aff6">
    <w:name w:val="annotation reference"/>
    <w:uiPriority w:val="99"/>
    <w:rsid w:val="0090763C"/>
    <w:rPr>
      <w:sz w:val="16"/>
      <w:szCs w:val="16"/>
    </w:rPr>
  </w:style>
  <w:style w:type="paragraph" w:styleId="aff7">
    <w:name w:val="annotation text"/>
    <w:basedOn w:val="a2"/>
    <w:link w:val="aff8"/>
    <w:uiPriority w:val="99"/>
    <w:rsid w:val="0090763C"/>
    <w:pPr>
      <w:overflowPunct w:val="0"/>
      <w:autoSpaceDE w:val="0"/>
      <w:autoSpaceDN w:val="0"/>
      <w:adjustRightInd w:val="0"/>
      <w:jc w:val="both"/>
      <w:textAlignment w:val="baseline"/>
    </w:pPr>
    <w:rPr>
      <w:rFonts w:ascii="Times" w:hAnsi="Times"/>
      <w:sz w:val="20"/>
      <w:szCs w:val="20"/>
      <w:lang w:val="en-GB"/>
    </w:rPr>
  </w:style>
  <w:style w:type="character" w:customStyle="1" w:styleId="aff8">
    <w:name w:val="Текст примечания Знак"/>
    <w:basedOn w:val="a3"/>
    <w:link w:val="aff7"/>
    <w:uiPriority w:val="99"/>
    <w:rsid w:val="0090763C"/>
    <w:rPr>
      <w:rFonts w:ascii="Times" w:eastAsia="Times New Roman" w:hAnsi="Times" w:cs="Times New Roman"/>
      <w:sz w:val="20"/>
      <w:szCs w:val="20"/>
      <w:lang w:val="en-GB"/>
    </w:rPr>
  </w:style>
  <w:style w:type="paragraph" w:styleId="34">
    <w:name w:val="Body Text 3"/>
    <w:basedOn w:val="a2"/>
    <w:link w:val="35"/>
    <w:rsid w:val="0090763C"/>
    <w:pPr>
      <w:spacing w:after="120"/>
    </w:pPr>
    <w:rPr>
      <w:rFonts w:eastAsia="Batang"/>
      <w:sz w:val="16"/>
      <w:szCs w:val="16"/>
      <w:lang w:val="x-none" w:eastAsia="ko-KR"/>
    </w:rPr>
  </w:style>
  <w:style w:type="character" w:customStyle="1" w:styleId="35">
    <w:name w:val="Основной текст 3 Знак"/>
    <w:basedOn w:val="a3"/>
    <w:link w:val="34"/>
    <w:rsid w:val="0090763C"/>
    <w:rPr>
      <w:rFonts w:ascii="Times New Roman" w:eastAsia="Batang" w:hAnsi="Times New Roman" w:cs="Times New Roman"/>
      <w:sz w:val="16"/>
      <w:szCs w:val="16"/>
      <w:lang w:val="x-none" w:eastAsia="ko-KR"/>
    </w:rPr>
  </w:style>
  <w:style w:type="paragraph" w:customStyle="1" w:styleId="aff9">
    <w:name w:val="Абзац"/>
    <w:basedOn w:val="a2"/>
    <w:link w:val="affa"/>
    <w:rsid w:val="0090763C"/>
    <w:pPr>
      <w:spacing w:before="120"/>
      <w:ind w:left="567"/>
      <w:jc w:val="both"/>
    </w:pPr>
    <w:rPr>
      <w:rFonts w:ascii="Arial" w:hAnsi="Arial"/>
      <w:sz w:val="20"/>
      <w:lang w:val="x-none" w:eastAsia="x-none"/>
    </w:rPr>
  </w:style>
  <w:style w:type="character" w:customStyle="1" w:styleId="affa">
    <w:name w:val="Абзац Знак"/>
    <w:link w:val="aff9"/>
    <w:rsid w:val="0090763C"/>
    <w:rPr>
      <w:rFonts w:ascii="Arial" w:eastAsia="Times New Roman" w:hAnsi="Arial" w:cs="Times New Roman"/>
      <w:sz w:val="20"/>
      <w:szCs w:val="24"/>
      <w:lang w:val="x-none" w:eastAsia="x-none"/>
    </w:rPr>
  </w:style>
  <w:style w:type="paragraph" w:customStyle="1" w:styleId="1b">
    <w:name w:val="Обычный1"/>
    <w:rsid w:val="0090763C"/>
    <w:pPr>
      <w:widowControl w:val="0"/>
      <w:spacing w:before="60" w:line="320" w:lineRule="auto"/>
      <w:ind w:left="400"/>
      <w:jc w:val="both"/>
    </w:pPr>
    <w:rPr>
      <w:rFonts w:ascii="Times New Roman" w:eastAsia="Times New Roman" w:hAnsi="Times New Roman" w:cs="Times New Roman"/>
      <w:snapToGrid w:val="0"/>
      <w:sz w:val="18"/>
      <w:szCs w:val="20"/>
      <w:lang w:eastAsia="ru-RU"/>
    </w:rPr>
  </w:style>
  <w:style w:type="paragraph" w:customStyle="1" w:styleId="Web">
    <w:name w:val="Обычный (Web)"/>
    <w:basedOn w:val="a2"/>
    <w:rsid w:val="0090763C"/>
    <w:pPr>
      <w:spacing w:before="100" w:beforeAutospacing="1" w:after="100" w:afterAutospacing="1"/>
    </w:pPr>
    <w:rPr>
      <w:lang w:eastAsia="ru-RU"/>
    </w:rPr>
  </w:style>
  <w:style w:type="paragraph" w:customStyle="1" w:styleId="110">
    <w:name w:val="Обычный11"/>
    <w:rsid w:val="0090763C"/>
    <w:pPr>
      <w:spacing w:line="240" w:lineRule="auto"/>
    </w:pPr>
    <w:rPr>
      <w:rFonts w:ascii="Times New Roman" w:eastAsia="Times New Roman" w:hAnsi="Times New Roman" w:cs="Times New Roman"/>
      <w:snapToGrid w:val="0"/>
      <w:sz w:val="28"/>
      <w:szCs w:val="20"/>
      <w:lang w:eastAsia="ru-RU"/>
    </w:rPr>
  </w:style>
  <w:style w:type="paragraph" w:styleId="affb">
    <w:name w:val="No Spacing"/>
    <w:aliases w:val="Обя,мелкий,мой рабочий,Айгерим,норма,свой,Елжан,No Spacing1"/>
    <w:link w:val="affc"/>
    <w:uiPriority w:val="1"/>
    <w:qFormat/>
    <w:rsid w:val="0090763C"/>
    <w:pPr>
      <w:spacing w:line="240" w:lineRule="auto"/>
    </w:pPr>
    <w:rPr>
      <w:rFonts w:ascii="Times New Roman" w:eastAsia="Batang" w:hAnsi="Times New Roman" w:cs="Times New Roman"/>
      <w:sz w:val="24"/>
      <w:szCs w:val="24"/>
      <w:lang w:eastAsia="ko-KR"/>
    </w:rPr>
  </w:style>
  <w:style w:type="paragraph" w:styleId="28">
    <w:name w:val="index 2"/>
    <w:basedOn w:val="a2"/>
    <w:next w:val="a2"/>
    <w:rsid w:val="0090763C"/>
    <w:pPr>
      <w:tabs>
        <w:tab w:val="right" w:leader="dot" w:pos="8782"/>
      </w:tabs>
      <w:ind w:left="400" w:hanging="200"/>
    </w:pPr>
    <w:rPr>
      <w:rFonts w:ascii="Arial" w:hAnsi="Arial"/>
      <w:sz w:val="18"/>
      <w:szCs w:val="20"/>
      <w:lang w:val="en-GB"/>
    </w:rPr>
  </w:style>
  <w:style w:type="paragraph" w:styleId="1c">
    <w:name w:val="index 1"/>
    <w:basedOn w:val="a2"/>
    <w:next w:val="a2"/>
    <w:autoRedefine/>
    <w:rsid w:val="0090763C"/>
    <w:pPr>
      <w:ind w:left="86" w:hanging="86"/>
    </w:pPr>
    <w:rPr>
      <w:rFonts w:ascii="Arial" w:hAnsi="Arial" w:cs="Arial"/>
      <w:i/>
      <w:sz w:val="18"/>
      <w:szCs w:val="18"/>
      <w:lang w:val="en-GB"/>
    </w:rPr>
  </w:style>
  <w:style w:type="paragraph" w:customStyle="1" w:styleId="Tabletext">
    <w:name w:val="Table text"/>
    <w:basedOn w:val="a2"/>
    <w:link w:val="Tabletext0"/>
    <w:qFormat/>
    <w:rsid w:val="0090763C"/>
    <w:pPr>
      <w:ind w:left="85" w:hanging="85"/>
    </w:pPr>
    <w:rPr>
      <w:rFonts w:ascii="Arial" w:hAnsi="Arial"/>
      <w:sz w:val="18"/>
      <w:szCs w:val="20"/>
      <w:lang w:val="en-GB"/>
    </w:rPr>
  </w:style>
  <w:style w:type="paragraph" w:customStyle="1" w:styleId="Rowheader">
    <w:name w:val="Row header"/>
    <w:basedOn w:val="a2"/>
    <w:link w:val="RowheaderChar"/>
    <w:rsid w:val="0090763C"/>
    <w:pPr>
      <w:ind w:left="85" w:hanging="85"/>
    </w:pPr>
    <w:rPr>
      <w:rFonts w:ascii="Arial" w:hAnsi="Arial"/>
      <w:b/>
      <w:sz w:val="18"/>
      <w:szCs w:val="20"/>
      <w:lang w:val="en-GB"/>
    </w:rPr>
  </w:style>
  <w:style w:type="paragraph" w:customStyle="1" w:styleId="Columnheader">
    <w:name w:val="Column header"/>
    <w:basedOn w:val="a2"/>
    <w:rsid w:val="0090763C"/>
    <w:pPr>
      <w:tabs>
        <w:tab w:val="decimal" w:pos="1503"/>
      </w:tabs>
      <w:spacing w:line="228" w:lineRule="auto"/>
      <w:ind w:right="-56"/>
    </w:pPr>
    <w:rPr>
      <w:rFonts w:ascii="Arial" w:hAnsi="Arial"/>
      <w:b/>
      <w:sz w:val="18"/>
      <w:szCs w:val="20"/>
      <w:lang w:val="en-GB"/>
    </w:rPr>
  </w:style>
  <w:style w:type="paragraph" w:customStyle="1" w:styleId="Tablenumbers1">
    <w:name w:val="Table numbers1"/>
    <w:link w:val="Tablenumbers1Char"/>
    <w:rsid w:val="0090763C"/>
    <w:pPr>
      <w:tabs>
        <w:tab w:val="decimal" w:pos="1503"/>
      </w:tabs>
      <w:spacing w:line="240" w:lineRule="auto"/>
      <w:ind w:right="-56"/>
    </w:pPr>
    <w:rPr>
      <w:rFonts w:ascii="Arial" w:eastAsia="Times New Roman" w:hAnsi="Arial" w:cs="Times New Roman"/>
      <w:sz w:val="18"/>
      <w:szCs w:val="20"/>
      <w:lang w:val="en-GB"/>
    </w:rPr>
  </w:style>
  <w:style w:type="paragraph" w:customStyle="1" w:styleId="RRthousands">
    <w:name w:val="RR thousands"/>
    <w:basedOn w:val="a2"/>
    <w:link w:val="RRthousandsChar"/>
    <w:rsid w:val="0090763C"/>
    <w:pPr>
      <w:ind w:left="86" w:hanging="86"/>
    </w:pPr>
    <w:rPr>
      <w:rFonts w:ascii="Arial" w:hAnsi="Arial" w:cs="Arial"/>
      <w:i/>
      <w:sz w:val="16"/>
      <w:szCs w:val="20"/>
      <w:lang w:val="en-GB"/>
    </w:rPr>
  </w:style>
  <w:style w:type="character" w:customStyle="1" w:styleId="RRthousandsChar">
    <w:name w:val="RR thousands Char"/>
    <w:link w:val="RRthousands"/>
    <w:rsid w:val="0090763C"/>
    <w:rPr>
      <w:rFonts w:ascii="Arial" w:eastAsia="Times New Roman" w:hAnsi="Arial" w:cs="Arial"/>
      <w:i/>
      <w:sz w:val="16"/>
      <w:szCs w:val="20"/>
      <w:lang w:val="en-GB"/>
    </w:rPr>
  </w:style>
  <w:style w:type="paragraph" w:customStyle="1" w:styleId="Tabletext1">
    <w:name w:val="Tabletext"/>
    <w:basedOn w:val="a2"/>
    <w:rsid w:val="0090763C"/>
    <w:pPr>
      <w:spacing w:before="40" w:after="40"/>
    </w:pPr>
    <w:rPr>
      <w:rFonts w:ascii="Arial" w:hAnsi="Arial"/>
      <w:sz w:val="18"/>
      <w:szCs w:val="20"/>
      <w:lang w:val="en-GB"/>
    </w:rPr>
  </w:style>
  <w:style w:type="paragraph" w:styleId="affd">
    <w:name w:val="endnote text"/>
    <w:basedOn w:val="a2"/>
    <w:link w:val="affe"/>
    <w:unhideWhenUsed/>
    <w:rsid w:val="0090763C"/>
    <w:rPr>
      <w:rFonts w:ascii="Calibri" w:eastAsia="Calibri" w:hAnsi="Calibri"/>
      <w:sz w:val="20"/>
      <w:szCs w:val="20"/>
    </w:rPr>
  </w:style>
  <w:style w:type="character" w:customStyle="1" w:styleId="affe">
    <w:name w:val="Текст концевой сноски Знак"/>
    <w:basedOn w:val="a3"/>
    <w:link w:val="affd"/>
    <w:rsid w:val="0090763C"/>
    <w:rPr>
      <w:rFonts w:ascii="Calibri" w:eastAsia="Calibri" w:hAnsi="Calibri" w:cs="Times New Roman"/>
      <w:sz w:val="20"/>
      <w:szCs w:val="20"/>
    </w:rPr>
  </w:style>
  <w:style w:type="character" w:styleId="afff">
    <w:name w:val="endnote reference"/>
    <w:unhideWhenUsed/>
    <w:rsid w:val="0090763C"/>
    <w:rPr>
      <w:vertAlign w:val="superscript"/>
    </w:rPr>
  </w:style>
  <w:style w:type="character" w:customStyle="1" w:styleId="FontStyle17">
    <w:name w:val="Font Style17"/>
    <w:rsid w:val="0090763C"/>
    <w:rPr>
      <w:rFonts w:ascii="Microsoft Sans Serif" w:hAnsi="Microsoft Sans Serif" w:cs="Microsoft Sans Serif"/>
      <w:b/>
      <w:bCs/>
      <w:sz w:val="20"/>
      <w:szCs w:val="20"/>
    </w:rPr>
  </w:style>
  <w:style w:type="paragraph" w:styleId="afff0">
    <w:name w:val="annotation subject"/>
    <w:basedOn w:val="aff7"/>
    <w:next w:val="aff7"/>
    <w:link w:val="afff1"/>
    <w:uiPriority w:val="99"/>
    <w:rsid w:val="0090763C"/>
    <w:pPr>
      <w:overflowPunct/>
      <w:autoSpaceDE/>
      <w:autoSpaceDN/>
      <w:adjustRightInd/>
      <w:jc w:val="left"/>
      <w:textAlignment w:val="auto"/>
    </w:pPr>
    <w:rPr>
      <w:rFonts w:ascii="Times New Roman" w:eastAsia="Batang" w:hAnsi="Times New Roman"/>
      <w:b/>
      <w:bCs/>
      <w:lang w:val="ru-RU" w:eastAsia="ko-KR"/>
    </w:rPr>
  </w:style>
  <w:style w:type="character" w:customStyle="1" w:styleId="afff1">
    <w:name w:val="Тема примечания Знак"/>
    <w:basedOn w:val="aff8"/>
    <w:link w:val="afff0"/>
    <w:uiPriority w:val="99"/>
    <w:rsid w:val="0090763C"/>
    <w:rPr>
      <w:rFonts w:ascii="Times New Roman" w:eastAsia="Batang" w:hAnsi="Times New Roman" w:cs="Times New Roman"/>
      <w:b/>
      <w:bCs/>
      <w:sz w:val="20"/>
      <w:szCs w:val="20"/>
      <w:lang w:val="en-GB" w:eastAsia="ko-KR"/>
    </w:rPr>
  </w:style>
  <w:style w:type="paragraph" w:customStyle="1" w:styleId="1d">
    <w:name w:val="Основной текст1"/>
    <w:basedOn w:val="a2"/>
    <w:uiPriority w:val="99"/>
    <w:rsid w:val="0090763C"/>
    <w:pPr>
      <w:jc w:val="both"/>
    </w:pPr>
    <w:rPr>
      <w:rFonts w:eastAsia="SimSun"/>
      <w:sz w:val="28"/>
      <w:szCs w:val="20"/>
      <w:lang w:eastAsia="zh-CN"/>
    </w:rPr>
  </w:style>
  <w:style w:type="paragraph" w:styleId="afff2">
    <w:name w:val="Title"/>
    <w:basedOn w:val="a2"/>
    <w:link w:val="afff3"/>
    <w:qFormat/>
    <w:rsid w:val="00E94D82"/>
    <w:pPr>
      <w:jc w:val="center"/>
    </w:pPr>
    <w:rPr>
      <w:szCs w:val="20"/>
      <w:lang w:val="x-none" w:eastAsia="x-none"/>
    </w:rPr>
  </w:style>
  <w:style w:type="character" w:customStyle="1" w:styleId="afff3">
    <w:name w:val="Заголовок Знак"/>
    <w:basedOn w:val="a3"/>
    <w:link w:val="afff2"/>
    <w:rsid w:val="00E94D82"/>
    <w:rPr>
      <w:rFonts w:ascii="Times New Roman" w:eastAsia="Times New Roman" w:hAnsi="Times New Roman" w:cs="Times New Roman"/>
      <w:sz w:val="24"/>
      <w:szCs w:val="20"/>
      <w:lang w:val="x-none" w:eastAsia="x-none"/>
    </w:rPr>
  </w:style>
  <w:style w:type="paragraph" w:customStyle="1" w:styleId="afff4">
    <w:name w:val="Стиль"/>
    <w:rsid w:val="008A39CA"/>
    <w:pPr>
      <w:widowControl w:val="0"/>
      <w:suppressAutoHyphens/>
      <w:autoSpaceDE w:val="0"/>
      <w:spacing w:line="240" w:lineRule="auto"/>
    </w:pPr>
    <w:rPr>
      <w:rFonts w:ascii="Times New Roman" w:eastAsia="Arial" w:hAnsi="Times New Roman" w:cs="Times New Roman"/>
      <w:sz w:val="24"/>
      <w:szCs w:val="24"/>
      <w:lang w:eastAsia="ar-SA"/>
    </w:rPr>
  </w:style>
  <w:style w:type="paragraph" w:customStyle="1" w:styleId="1">
    <w:name w:val="Список1"/>
    <w:basedOn w:val="a2"/>
    <w:link w:val="1e"/>
    <w:rsid w:val="008A39CA"/>
    <w:pPr>
      <w:numPr>
        <w:numId w:val="2"/>
      </w:numPr>
      <w:spacing w:before="120"/>
      <w:jc w:val="both"/>
    </w:pPr>
    <w:rPr>
      <w:rFonts w:ascii="Arial" w:hAnsi="Arial"/>
      <w:sz w:val="20"/>
      <w:lang w:val="x-none" w:eastAsia="x-none"/>
    </w:rPr>
  </w:style>
  <w:style w:type="character" w:customStyle="1" w:styleId="1e">
    <w:name w:val="Список1 Знак"/>
    <w:link w:val="1"/>
    <w:rsid w:val="008A39CA"/>
    <w:rPr>
      <w:rFonts w:ascii="Arial" w:eastAsia="Times New Roman" w:hAnsi="Arial" w:cs="Times New Roman"/>
      <w:sz w:val="20"/>
      <w:szCs w:val="24"/>
      <w:lang w:val="x-none" w:eastAsia="x-none"/>
    </w:rPr>
  </w:style>
  <w:style w:type="character" w:customStyle="1" w:styleId="rvts48220">
    <w:name w:val="rvts48220"/>
    <w:rsid w:val="004619A3"/>
    <w:rPr>
      <w:rFonts w:ascii="Arial" w:hAnsi="Arial" w:cs="Arial" w:hint="default"/>
      <w:b w:val="0"/>
      <w:bCs w:val="0"/>
      <w:i w:val="0"/>
      <w:iCs w:val="0"/>
      <w:strike w:val="0"/>
      <w:dstrike w:val="0"/>
      <w:color w:val="000000"/>
      <w:sz w:val="20"/>
      <w:szCs w:val="20"/>
      <w:u w:val="none"/>
      <w:effect w:val="none"/>
    </w:rPr>
  </w:style>
  <w:style w:type="paragraph" w:styleId="29">
    <w:name w:val="toc 2"/>
    <w:basedOn w:val="a2"/>
    <w:next w:val="a2"/>
    <w:autoRedefine/>
    <w:uiPriority w:val="39"/>
    <w:rsid w:val="004951F5"/>
    <w:pPr>
      <w:spacing w:before="120"/>
      <w:ind w:left="240"/>
      <w:jc w:val="center"/>
    </w:pPr>
    <w:rPr>
      <w:b/>
      <w:bCs/>
      <w:sz w:val="32"/>
      <w:szCs w:val="18"/>
      <w:lang w:val="kk-KZ"/>
    </w:rPr>
  </w:style>
  <w:style w:type="character" w:customStyle="1" w:styleId="hps">
    <w:name w:val="hps"/>
    <w:basedOn w:val="a3"/>
    <w:rsid w:val="00B06F89"/>
  </w:style>
  <w:style w:type="paragraph" w:customStyle="1" w:styleId="Style2">
    <w:name w:val="Style2"/>
    <w:basedOn w:val="4"/>
    <w:qFormat/>
    <w:rsid w:val="00B06F89"/>
    <w:pPr>
      <w:keepNext w:val="0"/>
      <w:keepLines w:val="0"/>
      <w:overflowPunct w:val="0"/>
      <w:autoSpaceDE w:val="0"/>
      <w:autoSpaceDN w:val="0"/>
      <w:adjustRightInd w:val="0"/>
      <w:spacing w:before="240"/>
      <w:ind w:right="-23"/>
      <w:jc w:val="both"/>
      <w:textAlignment w:val="baseline"/>
    </w:pPr>
    <w:rPr>
      <w:rFonts w:ascii="Garamond" w:eastAsia="Times New Roman" w:hAnsi="Garamond" w:cs="Arial"/>
      <w:b w:val="0"/>
      <w:i/>
      <w:iCs/>
      <w:color w:val="auto"/>
      <w:sz w:val="20"/>
      <w:szCs w:val="20"/>
    </w:rPr>
  </w:style>
  <w:style w:type="character" w:customStyle="1" w:styleId="40">
    <w:name w:val="Заголовок 4 Знак"/>
    <w:basedOn w:val="a3"/>
    <w:link w:val="4"/>
    <w:rsid w:val="000540B0"/>
    <w:rPr>
      <w:rFonts w:ascii="Times New Roman" w:eastAsiaTheme="majorEastAsia" w:hAnsi="Times New Roman" w:cstheme="majorBidi"/>
      <w:b/>
      <w:bCs/>
      <w:color w:val="000000" w:themeColor="text1"/>
      <w:sz w:val="24"/>
    </w:rPr>
  </w:style>
  <w:style w:type="paragraph" w:styleId="afff5">
    <w:name w:val="Subtitle"/>
    <w:basedOn w:val="a2"/>
    <w:next w:val="a2"/>
    <w:link w:val="afff6"/>
    <w:qFormat/>
    <w:rsid w:val="009C22FF"/>
    <w:pPr>
      <w:spacing w:after="60"/>
      <w:jc w:val="center"/>
      <w:outlineLvl w:val="1"/>
    </w:pPr>
    <w:rPr>
      <w:rFonts w:ascii="Calibri Light" w:hAnsi="Calibri Light"/>
      <w:lang w:val="en-GB"/>
    </w:rPr>
  </w:style>
  <w:style w:type="character" w:customStyle="1" w:styleId="afff6">
    <w:name w:val="Подзаголовок Знак"/>
    <w:basedOn w:val="a3"/>
    <w:link w:val="afff5"/>
    <w:rsid w:val="009C22FF"/>
    <w:rPr>
      <w:rFonts w:ascii="Calibri Light" w:eastAsia="Times New Roman" w:hAnsi="Calibri Light" w:cs="Times New Roman"/>
      <w:sz w:val="24"/>
      <w:szCs w:val="24"/>
      <w:lang w:val="en-GB"/>
    </w:rPr>
  </w:style>
  <w:style w:type="character" w:customStyle="1" w:styleId="31">
    <w:name w:val="Заголовок 3 Знак"/>
    <w:aliases w:val=" Знак Знак Знак"/>
    <w:basedOn w:val="a3"/>
    <w:link w:val="30"/>
    <w:rsid w:val="00A5269A"/>
    <w:rPr>
      <w:rFonts w:ascii="Arial" w:eastAsia="Times New Roman" w:hAnsi="Arial" w:cs="Times New Roman"/>
      <w:b/>
      <w:sz w:val="18"/>
      <w:szCs w:val="20"/>
      <w:lang w:val="en-GB"/>
    </w:rPr>
  </w:style>
  <w:style w:type="character" w:customStyle="1" w:styleId="60">
    <w:name w:val="Заголовок 6 Знак"/>
    <w:basedOn w:val="a3"/>
    <w:link w:val="6"/>
    <w:rsid w:val="00A5269A"/>
    <w:rPr>
      <w:rFonts w:ascii="Arial" w:eastAsia="Times New Roman" w:hAnsi="Arial" w:cs="Times New Roman"/>
      <w:b/>
      <w:sz w:val="18"/>
      <w:szCs w:val="20"/>
      <w:lang w:val="en-GB"/>
    </w:rPr>
  </w:style>
  <w:style w:type="character" w:customStyle="1" w:styleId="70">
    <w:name w:val="Заголовок 7 Знак"/>
    <w:basedOn w:val="a3"/>
    <w:link w:val="7"/>
    <w:rsid w:val="00A5269A"/>
    <w:rPr>
      <w:rFonts w:ascii="Arial" w:eastAsia="Times New Roman" w:hAnsi="Arial" w:cs="Times New Roman"/>
      <w:b/>
      <w:sz w:val="24"/>
      <w:szCs w:val="20"/>
      <w:lang w:val="en-GB"/>
    </w:rPr>
  </w:style>
  <w:style w:type="character" w:customStyle="1" w:styleId="80">
    <w:name w:val="Заголовок 8 Знак"/>
    <w:basedOn w:val="a3"/>
    <w:link w:val="8"/>
    <w:rsid w:val="00A5269A"/>
    <w:rPr>
      <w:rFonts w:ascii="Arial" w:eastAsia="Times New Roman" w:hAnsi="Arial" w:cs="Times New Roman"/>
      <w:b/>
      <w:sz w:val="18"/>
      <w:szCs w:val="20"/>
      <w:lang w:val="en-GB"/>
    </w:rPr>
  </w:style>
  <w:style w:type="character" w:customStyle="1" w:styleId="90">
    <w:name w:val="Заголовок 9 Знак"/>
    <w:basedOn w:val="a3"/>
    <w:link w:val="9"/>
    <w:rsid w:val="00A5269A"/>
    <w:rPr>
      <w:rFonts w:ascii="Arial" w:eastAsia="Times New Roman" w:hAnsi="Arial" w:cs="Times New Roman"/>
      <w:b/>
      <w:sz w:val="18"/>
      <w:szCs w:val="20"/>
      <w:lang w:val="en-GB"/>
    </w:rPr>
  </w:style>
  <w:style w:type="paragraph" w:customStyle="1" w:styleId="TitreABC2">
    <w:name w:val="Titre ABC2"/>
    <w:basedOn w:val="28"/>
    <w:rsid w:val="00A5269A"/>
    <w:pPr>
      <w:ind w:left="198" w:hanging="198"/>
    </w:pPr>
    <w:rPr>
      <w:b/>
      <w:lang w:val="en-US"/>
    </w:rPr>
  </w:style>
  <w:style w:type="paragraph" w:customStyle="1" w:styleId="ABCTitle">
    <w:name w:val="ABC Title"/>
    <w:basedOn w:val="2"/>
    <w:rsid w:val="00A5269A"/>
    <w:pPr>
      <w:tabs>
        <w:tab w:val="left" w:pos="2268"/>
      </w:tabs>
      <w:spacing w:before="60" w:after="0"/>
      <w:outlineLvl w:val="9"/>
    </w:pPr>
    <w:rPr>
      <w:rFonts w:ascii="Arial" w:hAnsi="Arial"/>
      <w:bCs w:val="0"/>
      <w:i w:val="0"/>
      <w:iCs w:val="0"/>
      <w:smallCaps/>
      <w:sz w:val="20"/>
      <w:szCs w:val="20"/>
      <w:lang w:val="en-US" w:eastAsia="en-US"/>
    </w:rPr>
  </w:style>
  <w:style w:type="paragraph" w:customStyle="1" w:styleId="Name">
    <w:name w:val="Name"/>
    <w:rsid w:val="00A5269A"/>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spacing w:line="240" w:lineRule="auto"/>
      <w:jc w:val="both"/>
    </w:pPr>
    <w:rPr>
      <w:rFonts w:ascii="Arial" w:eastAsia="Times New Roman" w:hAnsi="Arial" w:cs="Times New Roman"/>
      <w:b/>
      <w:smallCaps/>
      <w:spacing w:val="-2"/>
      <w:szCs w:val="20"/>
      <w:lang w:val="en-GB"/>
    </w:rPr>
  </w:style>
  <w:style w:type="paragraph" w:styleId="1f">
    <w:name w:val="toc 1"/>
    <w:basedOn w:val="a2"/>
    <w:next w:val="a2"/>
    <w:autoRedefine/>
    <w:uiPriority w:val="39"/>
    <w:rsid w:val="00A5269A"/>
    <w:pPr>
      <w:spacing w:before="120"/>
    </w:pPr>
    <w:rPr>
      <w:rFonts w:asciiTheme="minorHAnsi" w:hAnsiTheme="minorHAnsi"/>
      <w:b/>
      <w:bCs/>
      <w:i/>
      <w:iCs/>
    </w:rPr>
  </w:style>
  <w:style w:type="paragraph" w:styleId="36">
    <w:name w:val="toc 3"/>
    <w:basedOn w:val="a2"/>
    <w:next w:val="a2"/>
    <w:autoRedefine/>
    <w:uiPriority w:val="39"/>
    <w:rsid w:val="00A5269A"/>
    <w:pPr>
      <w:ind w:left="480"/>
    </w:pPr>
    <w:rPr>
      <w:rFonts w:asciiTheme="minorHAnsi" w:hAnsiTheme="minorHAnsi"/>
      <w:sz w:val="20"/>
      <w:szCs w:val="20"/>
    </w:rPr>
  </w:style>
  <w:style w:type="paragraph" w:customStyle="1" w:styleId="ABC-paragrahinNotes">
    <w:name w:val="ABC - paragrah in Notes"/>
    <w:link w:val="ABC-paragrahinNotesChar1"/>
    <w:qFormat/>
    <w:rsid w:val="00A5269A"/>
    <w:pPr>
      <w:spacing w:after="240" w:line="240" w:lineRule="auto"/>
      <w:jc w:val="both"/>
    </w:pPr>
    <w:rPr>
      <w:rFonts w:ascii="Arial" w:eastAsia="Times New Roman" w:hAnsi="Arial" w:cs="Times New Roman"/>
      <w:sz w:val="20"/>
      <w:szCs w:val="20"/>
      <w:lang w:val="en-GB"/>
    </w:rPr>
  </w:style>
  <w:style w:type="character" w:customStyle="1" w:styleId="ABC-paragrahinNotesChar1">
    <w:name w:val="ABC - paragrah in Notes Char1"/>
    <w:link w:val="ABC-paragrahinNotes"/>
    <w:rsid w:val="00A5269A"/>
    <w:rPr>
      <w:rFonts w:ascii="Arial" w:eastAsia="Times New Roman" w:hAnsi="Arial" w:cs="Times New Roman"/>
      <w:sz w:val="20"/>
      <w:szCs w:val="20"/>
      <w:lang w:val="en-GB"/>
    </w:rPr>
  </w:style>
  <w:style w:type="paragraph" w:customStyle="1" w:styleId="ABC-BulletsinNotes">
    <w:name w:val="ABC - Bullets in Notes"/>
    <w:rsid w:val="00A5269A"/>
    <w:pPr>
      <w:numPr>
        <w:numId w:val="7"/>
      </w:numPr>
      <w:tabs>
        <w:tab w:val="left" w:pos="851"/>
      </w:tabs>
      <w:spacing w:after="240" w:line="240" w:lineRule="auto"/>
      <w:jc w:val="both"/>
    </w:pPr>
    <w:rPr>
      <w:rFonts w:ascii="Arial" w:eastAsia="Times New Roman" w:hAnsi="Arial" w:cs="Times New Roman"/>
      <w:sz w:val="18"/>
      <w:szCs w:val="20"/>
      <w:lang w:val="en-GB"/>
    </w:rPr>
  </w:style>
  <w:style w:type="paragraph" w:styleId="42">
    <w:name w:val="toc 4"/>
    <w:basedOn w:val="a2"/>
    <w:next w:val="a2"/>
    <w:autoRedefine/>
    <w:uiPriority w:val="39"/>
    <w:rsid w:val="00A5269A"/>
    <w:pPr>
      <w:ind w:left="720"/>
    </w:pPr>
    <w:rPr>
      <w:rFonts w:asciiTheme="minorHAnsi" w:hAnsiTheme="minorHAnsi"/>
      <w:sz w:val="20"/>
      <w:szCs w:val="20"/>
    </w:rPr>
  </w:style>
  <w:style w:type="paragraph" w:styleId="51">
    <w:name w:val="toc 5"/>
    <w:basedOn w:val="a2"/>
    <w:next w:val="a2"/>
    <w:autoRedefine/>
    <w:uiPriority w:val="39"/>
    <w:rsid w:val="00A5269A"/>
    <w:pPr>
      <w:ind w:left="960"/>
    </w:pPr>
    <w:rPr>
      <w:rFonts w:asciiTheme="minorHAnsi" w:hAnsiTheme="minorHAnsi"/>
      <w:sz w:val="20"/>
      <w:szCs w:val="20"/>
    </w:rPr>
  </w:style>
  <w:style w:type="paragraph" w:styleId="61">
    <w:name w:val="toc 6"/>
    <w:basedOn w:val="a2"/>
    <w:next w:val="a2"/>
    <w:autoRedefine/>
    <w:uiPriority w:val="39"/>
    <w:rsid w:val="00A5269A"/>
    <w:pPr>
      <w:ind w:left="1200"/>
    </w:pPr>
    <w:rPr>
      <w:rFonts w:asciiTheme="minorHAnsi" w:hAnsiTheme="minorHAnsi"/>
      <w:sz w:val="20"/>
      <w:szCs w:val="20"/>
    </w:rPr>
  </w:style>
  <w:style w:type="paragraph" w:styleId="71">
    <w:name w:val="toc 7"/>
    <w:basedOn w:val="a2"/>
    <w:next w:val="a2"/>
    <w:autoRedefine/>
    <w:uiPriority w:val="39"/>
    <w:rsid w:val="00A5269A"/>
    <w:pPr>
      <w:ind w:left="1440"/>
    </w:pPr>
    <w:rPr>
      <w:rFonts w:asciiTheme="minorHAnsi" w:hAnsiTheme="minorHAnsi"/>
      <w:sz w:val="20"/>
      <w:szCs w:val="20"/>
    </w:rPr>
  </w:style>
  <w:style w:type="paragraph" w:styleId="81">
    <w:name w:val="toc 8"/>
    <w:basedOn w:val="a2"/>
    <w:next w:val="a2"/>
    <w:autoRedefine/>
    <w:uiPriority w:val="39"/>
    <w:rsid w:val="00A5269A"/>
    <w:pPr>
      <w:ind w:left="1680"/>
    </w:pPr>
    <w:rPr>
      <w:rFonts w:asciiTheme="minorHAnsi" w:hAnsiTheme="minorHAnsi"/>
      <w:sz w:val="20"/>
      <w:szCs w:val="20"/>
    </w:rPr>
  </w:style>
  <w:style w:type="paragraph" w:styleId="91">
    <w:name w:val="toc 9"/>
    <w:basedOn w:val="a2"/>
    <w:next w:val="a2"/>
    <w:autoRedefine/>
    <w:uiPriority w:val="39"/>
    <w:rsid w:val="00A5269A"/>
    <w:pPr>
      <w:ind w:left="1920"/>
    </w:pPr>
    <w:rPr>
      <w:rFonts w:asciiTheme="minorHAnsi" w:hAnsiTheme="minorHAnsi"/>
      <w:sz w:val="20"/>
      <w:szCs w:val="20"/>
    </w:rPr>
  </w:style>
  <w:style w:type="paragraph" w:customStyle="1" w:styleId="Address">
    <w:name w:val="Address"/>
    <w:basedOn w:val="a2"/>
    <w:rsid w:val="00A5269A"/>
    <w:pPr>
      <w:framePr w:w="3005" w:hSpace="181" w:vSpace="181" w:wrap="around" w:hAnchor="page" w:xAlign="right" w:yAlign="top" w:anchorLock="1"/>
      <w:pBdr>
        <w:left w:val="single" w:sz="4" w:space="9" w:color="auto"/>
      </w:pBdr>
      <w:spacing w:line="200" w:lineRule="exact"/>
    </w:pPr>
    <w:rPr>
      <w:rFonts w:ascii="Arial" w:hAnsi="Arial"/>
      <w:sz w:val="16"/>
      <w:szCs w:val="20"/>
      <w:lang w:val="en-GB"/>
    </w:rPr>
  </w:style>
  <w:style w:type="paragraph" w:customStyle="1" w:styleId="ABCFootnote">
    <w:name w:val="ABC Footnote"/>
    <w:basedOn w:val="ac"/>
    <w:rsid w:val="00A5269A"/>
    <w:rPr>
      <w:rFonts w:ascii="Arial" w:eastAsia="Times New Roman" w:hAnsi="Arial" w:cs="Times New Roman"/>
      <w:sz w:val="18"/>
      <w:lang w:val="en-GB"/>
    </w:rPr>
  </w:style>
  <w:style w:type="paragraph" w:customStyle="1" w:styleId="ABCNotes">
    <w:name w:val="ABC Notes"/>
    <w:basedOn w:val="a2"/>
    <w:rsid w:val="00A5269A"/>
    <w:pPr>
      <w:keepNext/>
      <w:keepLines/>
      <w:numPr>
        <w:numId w:val="13"/>
      </w:numPr>
      <w:spacing w:before="240" w:after="240"/>
    </w:pPr>
    <w:rPr>
      <w:rFonts w:ascii="Arial" w:hAnsi="Arial"/>
      <w:b/>
      <w:sz w:val="18"/>
      <w:szCs w:val="20"/>
      <w:lang w:val="en-GB"/>
    </w:rPr>
  </w:style>
  <w:style w:type="paragraph" w:styleId="a">
    <w:name w:val="Document Map"/>
    <w:basedOn w:val="a2"/>
    <w:link w:val="afff7"/>
    <w:rsid w:val="00A5269A"/>
    <w:pPr>
      <w:numPr>
        <w:numId w:val="14"/>
      </w:numPr>
      <w:shd w:val="clear" w:color="auto" w:fill="000080"/>
      <w:tabs>
        <w:tab w:val="clear" w:pos="1033"/>
      </w:tabs>
      <w:ind w:left="0" w:firstLine="0"/>
    </w:pPr>
    <w:rPr>
      <w:rFonts w:ascii="Tahoma" w:hAnsi="Tahoma"/>
      <w:sz w:val="18"/>
      <w:szCs w:val="20"/>
      <w:lang w:val="en-GB"/>
    </w:rPr>
  </w:style>
  <w:style w:type="character" w:customStyle="1" w:styleId="afff7">
    <w:name w:val="Схема документа Знак"/>
    <w:basedOn w:val="a3"/>
    <w:link w:val="a"/>
    <w:rsid w:val="00A5269A"/>
    <w:rPr>
      <w:rFonts w:ascii="Tahoma" w:eastAsia="Times New Roman" w:hAnsi="Tahoma" w:cs="Times New Roman"/>
      <w:sz w:val="18"/>
      <w:szCs w:val="20"/>
      <w:shd w:val="clear" w:color="auto" w:fill="000080"/>
      <w:lang w:val="en-GB"/>
    </w:rPr>
  </w:style>
  <w:style w:type="paragraph" w:customStyle="1" w:styleId="RICK1">
    <w:name w:val="RICK 1"/>
    <w:rsid w:val="00A5269A"/>
    <w:pPr>
      <w:tabs>
        <w:tab w:val="left" w:pos="-720"/>
      </w:tabs>
      <w:suppressAutoHyphens/>
      <w:spacing w:line="240" w:lineRule="auto"/>
    </w:pPr>
    <w:rPr>
      <w:rFonts w:ascii="Arial" w:eastAsia="Times New Roman" w:hAnsi="Arial" w:cs="Times New Roman"/>
      <w:sz w:val="20"/>
      <w:szCs w:val="20"/>
      <w:lang w:val="en-US"/>
    </w:rPr>
  </w:style>
  <w:style w:type="paragraph" w:customStyle="1" w:styleId="RightPar4">
    <w:name w:val="Right Par 4"/>
    <w:rsid w:val="00A5269A"/>
    <w:pPr>
      <w:tabs>
        <w:tab w:val="left" w:pos="-720"/>
        <w:tab w:val="left" w:pos="0"/>
        <w:tab w:val="left" w:pos="720"/>
        <w:tab w:val="left" w:pos="1440"/>
        <w:tab w:val="left" w:pos="2160"/>
        <w:tab w:val="decimal" w:pos="2880"/>
      </w:tabs>
      <w:suppressAutoHyphens/>
      <w:spacing w:line="240" w:lineRule="auto"/>
      <w:ind w:left="2880" w:hanging="432"/>
    </w:pPr>
    <w:rPr>
      <w:rFonts w:ascii="Swiss Light 10pt" w:eastAsia="Times New Roman" w:hAnsi="Swiss Light 10pt" w:cs="Times New Roman"/>
      <w:sz w:val="20"/>
      <w:szCs w:val="20"/>
      <w:lang w:val="en-US"/>
    </w:rPr>
  </w:style>
  <w:style w:type="paragraph" w:customStyle="1" w:styleId="Bullet0">
    <w:name w:val="Bullet"/>
    <w:basedOn w:val="a2"/>
    <w:rsid w:val="00A5269A"/>
    <w:pPr>
      <w:tabs>
        <w:tab w:val="num" w:pos="502"/>
      </w:tabs>
      <w:ind w:left="502" w:hanging="360"/>
    </w:pPr>
    <w:rPr>
      <w:rFonts w:ascii="Arial" w:hAnsi="Arial"/>
      <w:sz w:val="18"/>
      <w:szCs w:val="20"/>
      <w:lang w:val="en-GB"/>
    </w:rPr>
  </w:style>
  <w:style w:type="paragraph" w:customStyle="1" w:styleId="Continued">
    <w:name w:val="Continued"/>
    <w:qFormat/>
    <w:rsid w:val="00A5269A"/>
    <w:pPr>
      <w:keepNext/>
      <w:keepLines/>
      <w:pageBreakBefore/>
      <w:numPr>
        <w:numId w:val="15"/>
      </w:numPr>
      <w:tabs>
        <w:tab w:val="clear" w:pos="360"/>
      </w:tabs>
      <w:spacing w:after="240" w:line="240" w:lineRule="auto"/>
      <w:ind w:left="360" w:hanging="360"/>
    </w:pPr>
    <w:rPr>
      <w:rFonts w:ascii="Arial" w:eastAsia="Times New Roman" w:hAnsi="Arial" w:cs="Times New Roman"/>
      <w:b/>
      <w:sz w:val="20"/>
      <w:szCs w:val="20"/>
    </w:rPr>
  </w:style>
  <w:style w:type="paragraph" w:customStyle="1" w:styleId="Report">
    <w:name w:val="Report"/>
    <w:rsid w:val="00A5269A"/>
    <w:pPr>
      <w:numPr>
        <w:numId w:val="4"/>
      </w:numPr>
      <w:spacing w:after="240" w:line="240" w:lineRule="auto"/>
      <w:jc w:val="both"/>
    </w:pPr>
    <w:rPr>
      <w:rFonts w:ascii="Arial" w:eastAsia="Times New Roman" w:hAnsi="Arial" w:cs="Times New Roman"/>
      <w:snapToGrid w:val="0"/>
      <w:sz w:val="20"/>
      <w:szCs w:val="20"/>
      <w:lang w:val="en-GB"/>
    </w:rPr>
  </w:style>
  <w:style w:type="paragraph" w:customStyle="1" w:styleId="ABC-Aftertable">
    <w:name w:val="ABC - After table"/>
    <w:next w:val="ABC-paragrahinNotes"/>
    <w:rsid w:val="00A5269A"/>
    <w:pPr>
      <w:spacing w:before="240" w:after="240" w:line="240" w:lineRule="auto"/>
    </w:pPr>
    <w:rPr>
      <w:rFonts w:ascii="Arial" w:eastAsia="Times New Roman" w:hAnsi="Arial" w:cs="Times New Roman"/>
      <w:noProof/>
      <w:sz w:val="18"/>
      <w:szCs w:val="20"/>
      <w:lang w:val="en-GB"/>
    </w:rPr>
  </w:style>
  <w:style w:type="paragraph" w:customStyle="1" w:styleId="ABC-rBullets">
    <w:name w:val="ABC -r Bullets"/>
    <w:basedOn w:val="ABC-BulletsinNotes"/>
    <w:rsid w:val="00A5269A"/>
    <w:pPr>
      <w:numPr>
        <w:numId w:val="0"/>
      </w:numPr>
      <w:tabs>
        <w:tab w:val="num" w:pos="360"/>
      </w:tabs>
      <w:ind w:left="360" w:hanging="360"/>
    </w:pPr>
    <w:rPr>
      <w:lang w:val="ru-RU"/>
    </w:rPr>
  </w:style>
  <w:style w:type="paragraph" w:customStyle="1" w:styleId="Reportbullets">
    <w:name w:val="Report bullets"/>
    <w:rsid w:val="00A5269A"/>
    <w:pPr>
      <w:numPr>
        <w:numId w:val="3"/>
      </w:numPr>
      <w:tabs>
        <w:tab w:val="left" w:pos="567"/>
      </w:tabs>
      <w:spacing w:after="240" w:line="240" w:lineRule="auto"/>
      <w:ind w:left="567" w:hanging="567"/>
      <w:jc w:val="both"/>
    </w:pPr>
    <w:rPr>
      <w:rFonts w:ascii="Arial" w:eastAsia="Times New Roman" w:hAnsi="Arial" w:cs="Times New Roman"/>
      <w:sz w:val="20"/>
      <w:szCs w:val="20"/>
      <w:lang w:val="en-GB"/>
    </w:rPr>
  </w:style>
  <w:style w:type="paragraph" w:customStyle="1" w:styleId="Bullet1">
    <w:name w:val="Bullet1"/>
    <w:basedOn w:val="a2"/>
    <w:rsid w:val="00A5269A"/>
    <w:pPr>
      <w:numPr>
        <w:numId w:val="5"/>
      </w:numPr>
    </w:pPr>
    <w:rPr>
      <w:rFonts w:ascii="Arial" w:hAnsi="Arial"/>
      <w:sz w:val="18"/>
      <w:szCs w:val="20"/>
      <w:lang w:val="en-GB"/>
    </w:rPr>
  </w:style>
  <w:style w:type="character" w:customStyle="1" w:styleId="Tabletext0">
    <w:name w:val="Table text Знак"/>
    <w:link w:val="Tabletext"/>
    <w:rsid w:val="00A5269A"/>
    <w:rPr>
      <w:rFonts w:ascii="Arial" w:eastAsia="Times New Roman" w:hAnsi="Arial" w:cs="Times New Roman"/>
      <w:sz w:val="18"/>
      <w:szCs w:val="20"/>
      <w:lang w:val="en-GB"/>
    </w:rPr>
  </w:style>
  <w:style w:type="paragraph" w:customStyle="1" w:styleId="TitleABC">
    <w:name w:val="Title ABC"/>
    <w:basedOn w:val="ABC-paragrahinNotes"/>
    <w:rsid w:val="00A5269A"/>
    <w:pPr>
      <w:outlineLvl w:val="0"/>
    </w:pPr>
    <w:rPr>
      <w:b/>
      <w:sz w:val="32"/>
    </w:rPr>
  </w:style>
  <w:style w:type="paragraph" w:customStyle="1" w:styleId="Header1">
    <w:name w:val="Header1"/>
    <w:rsid w:val="00A5269A"/>
    <w:pPr>
      <w:tabs>
        <w:tab w:val="left" w:pos="-528"/>
      </w:tabs>
      <w:spacing w:line="240" w:lineRule="auto"/>
    </w:pPr>
    <w:rPr>
      <w:rFonts w:ascii="Arial" w:eastAsia="Times New Roman" w:hAnsi="Arial" w:cs="Times New Roman"/>
      <w:b/>
      <w:bCs/>
      <w:i/>
      <w:sz w:val="20"/>
      <w:szCs w:val="20"/>
      <w:lang w:val="en-GB"/>
    </w:rPr>
  </w:style>
  <w:style w:type="paragraph" w:customStyle="1" w:styleId="Header2">
    <w:name w:val="Header2"/>
    <w:rsid w:val="00A5269A"/>
    <w:pPr>
      <w:pBdr>
        <w:bottom w:val="single" w:sz="4" w:space="1" w:color="auto"/>
      </w:pBdr>
      <w:spacing w:line="240" w:lineRule="auto"/>
      <w:ind w:right="-57"/>
    </w:pPr>
    <w:rPr>
      <w:rFonts w:ascii="Arial" w:eastAsia="Times New Roman" w:hAnsi="Arial" w:cs="Times New Roman"/>
      <w:i/>
      <w:spacing w:val="-4"/>
      <w:sz w:val="16"/>
      <w:szCs w:val="20"/>
      <w:lang w:val="en-GB"/>
    </w:rPr>
  </w:style>
  <w:style w:type="paragraph" w:customStyle="1" w:styleId="1stpage">
    <w:name w:val="1st page"/>
    <w:basedOn w:val="ABC-paragrahinNotes"/>
    <w:rsid w:val="00A5269A"/>
    <w:pPr>
      <w:spacing w:after="0"/>
    </w:pPr>
    <w:rPr>
      <w:b/>
      <w:bCs/>
      <w:sz w:val="32"/>
    </w:rPr>
  </w:style>
  <w:style w:type="paragraph" w:customStyle="1" w:styleId="StyleSymbolTimesNewRomanBold9ptBoldLeft0cmHangi7">
    <w:name w:val="Style (Symbol) Times New Roman Bold 9 pt Bold Left:  0 cm Hangi...7"/>
    <w:basedOn w:val="a2"/>
    <w:autoRedefine/>
    <w:rsid w:val="00A5269A"/>
    <w:pPr>
      <w:spacing w:line="228" w:lineRule="auto"/>
      <w:ind w:left="228" w:hanging="228"/>
    </w:pPr>
    <w:rPr>
      <w:rFonts w:ascii="Arial" w:hAnsi="Arial"/>
      <w:b/>
      <w:bCs/>
      <w:spacing w:val="-6"/>
      <w:sz w:val="18"/>
      <w:szCs w:val="20"/>
      <w:lang w:val="en-GB"/>
    </w:rPr>
  </w:style>
  <w:style w:type="paragraph" w:customStyle="1" w:styleId="Aftertable">
    <w:name w:val="After table"/>
    <w:next w:val="ABC-paragrahinNotes"/>
    <w:rsid w:val="00A5269A"/>
    <w:pPr>
      <w:spacing w:line="240" w:lineRule="auto"/>
    </w:pPr>
    <w:rPr>
      <w:rFonts w:ascii="Arial" w:eastAsia="Times New Roman" w:hAnsi="Arial" w:cs="Times New Roman"/>
      <w:noProof/>
      <w:sz w:val="18"/>
      <w:szCs w:val="20"/>
      <w:lang w:val="en-GB"/>
    </w:rPr>
  </w:style>
  <w:style w:type="paragraph" w:customStyle="1" w:styleId="Disclaimer">
    <w:name w:val="Disclaimer"/>
    <w:rsid w:val="00A5269A"/>
    <w:pPr>
      <w:spacing w:after="60" w:line="240" w:lineRule="auto"/>
    </w:pPr>
    <w:rPr>
      <w:rFonts w:ascii="Arial" w:eastAsia="Times New Roman" w:hAnsi="Arial" w:cs="Times New Roman"/>
      <w:noProof/>
      <w:sz w:val="12"/>
      <w:szCs w:val="20"/>
      <w:lang w:val="en-GB"/>
    </w:rPr>
  </w:style>
  <w:style w:type="paragraph" w:customStyle="1" w:styleId="ABC-r-paragraphinNotes">
    <w:name w:val="ABC-r - paragraph in Notes"/>
    <w:rsid w:val="00A5269A"/>
    <w:pPr>
      <w:spacing w:after="240" w:line="240" w:lineRule="auto"/>
      <w:jc w:val="both"/>
    </w:pPr>
    <w:rPr>
      <w:rFonts w:ascii="Arial" w:eastAsia="Times New Roman" w:hAnsi="Arial" w:cs="Times New Roman"/>
      <w:sz w:val="18"/>
      <w:szCs w:val="20"/>
    </w:rPr>
  </w:style>
  <w:style w:type="paragraph" w:customStyle="1" w:styleId="bullet">
    <w:name w:val="bullet"/>
    <w:basedOn w:val="a2"/>
    <w:rsid w:val="00A5269A"/>
    <w:pPr>
      <w:numPr>
        <w:numId w:val="6"/>
      </w:numPr>
      <w:spacing w:before="40" w:line="200" w:lineRule="exact"/>
    </w:pPr>
    <w:rPr>
      <w:rFonts w:ascii="Arial" w:eastAsia="Times" w:hAnsi="Arial"/>
      <w:sz w:val="17"/>
      <w:szCs w:val="20"/>
      <w:lang w:val="en-GB"/>
    </w:rPr>
  </w:style>
  <w:style w:type="paragraph" w:customStyle="1" w:styleId="wfxRecipient">
    <w:name w:val="wfxRecipient"/>
    <w:basedOn w:val="a2"/>
    <w:rsid w:val="00A5269A"/>
    <w:pPr>
      <w:widowControl w:val="0"/>
    </w:pPr>
    <w:rPr>
      <w:rFonts w:ascii="Arial" w:hAnsi="Arial"/>
      <w:sz w:val="18"/>
      <w:szCs w:val="20"/>
      <w:lang w:val="en-US"/>
    </w:rPr>
  </w:style>
  <w:style w:type="paragraph" w:customStyle="1" w:styleId="StyleSymbolTimesNewRomanBold9ptBoldLeft0cmHangi">
    <w:name w:val="Style (Symbol) Times New Roman Bold 9 pt Bold Left:  0 cm Hangi..."/>
    <w:basedOn w:val="a2"/>
    <w:rsid w:val="00A5269A"/>
    <w:pPr>
      <w:spacing w:line="228" w:lineRule="auto"/>
      <w:ind w:left="228" w:hanging="228"/>
    </w:pPr>
    <w:rPr>
      <w:rFonts w:ascii="Arial" w:hAnsi="Arial"/>
      <w:b/>
      <w:bCs/>
      <w:spacing w:val="-6"/>
      <w:sz w:val="18"/>
      <w:szCs w:val="20"/>
      <w:lang w:val="en-GB"/>
    </w:rPr>
  </w:style>
  <w:style w:type="paragraph" w:customStyle="1" w:styleId="StyleSymbolTimesNewRomanBold9ptBoldLeft0cmHangi1">
    <w:name w:val="Style (Symbol) Times New Roman Bold 9 pt Bold Left:  0 cm Hangi...1"/>
    <w:basedOn w:val="a2"/>
    <w:rsid w:val="00A5269A"/>
    <w:pPr>
      <w:spacing w:line="228" w:lineRule="auto"/>
      <w:ind w:left="228" w:hanging="228"/>
    </w:pPr>
    <w:rPr>
      <w:rFonts w:ascii="Arial" w:hAnsi="Arial"/>
      <w:b/>
      <w:bCs/>
      <w:spacing w:val="-6"/>
      <w:sz w:val="18"/>
      <w:szCs w:val="20"/>
      <w:lang w:val="en-GB"/>
    </w:rPr>
  </w:style>
  <w:style w:type="paragraph" w:customStyle="1" w:styleId="StyleSymbolTimesNewRomanBold9ptBoldLeft0cmHangi2">
    <w:name w:val="Style (Symbol) Times New Roman Bold 9 pt Bold Left:  0 cm Hangi...2"/>
    <w:basedOn w:val="a2"/>
    <w:rsid w:val="00A5269A"/>
    <w:pPr>
      <w:spacing w:line="228" w:lineRule="auto"/>
      <w:ind w:left="228" w:hanging="228"/>
    </w:pPr>
    <w:rPr>
      <w:rFonts w:ascii="Arial" w:hAnsi="Arial"/>
      <w:b/>
      <w:bCs/>
      <w:spacing w:val="-6"/>
      <w:sz w:val="18"/>
      <w:szCs w:val="20"/>
      <w:lang w:val="en-GB"/>
    </w:rPr>
  </w:style>
  <w:style w:type="paragraph" w:customStyle="1" w:styleId="StyleSymbolTimesNewRomanBold9ptBoldLeft0cmHangi3">
    <w:name w:val="Style (Symbol) Times New Roman Bold 9 pt Bold Left:  0 cm Hangi...3"/>
    <w:basedOn w:val="a2"/>
    <w:rsid w:val="00A5269A"/>
    <w:pPr>
      <w:spacing w:line="228" w:lineRule="auto"/>
      <w:ind w:left="228" w:hanging="228"/>
    </w:pPr>
    <w:rPr>
      <w:rFonts w:ascii="Arial" w:hAnsi="Arial"/>
      <w:b/>
      <w:bCs/>
      <w:spacing w:val="-6"/>
      <w:sz w:val="18"/>
      <w:szCs w:val="20"/>
      <w:lang w:val="en-GB"/>
    </w:rPr>
  </w:style>
  <w:style w:type="character" w:customStyle="1" w:styleId="Style9pt">
    <w:name w:val="Style 9 pt"/>
    <w:rsid w:val="00A5269A"/>
    <w:rPr>
      <w:rFonts w:ascii="Arial" w:hAnsi="Arial"/>
      <w:sz w:val="18"/>
    </w:rPr>
  </w:style>
  <w:style w:type="paragraph" w:customStyle="1" w:styleId="Style9ptBoldCentered">
    <w:name w:val="Style 9 pt Bold Centered"/>
    <w:basedOn w:val="a2"/>
    <w:rsid w:val="00A5269A"/>
    <w:pPr>
      <w:jc w:val="center"/>
    </w:pPr>
    <w:rPr>
      <w:rFonts w:ascii="Arial" w:hAnsi="Arial"/>
      <w:b/>
      <w:bCs/>
      <w:sz w:val="18"/>
      <w:szCs w:val="20"/>
      <w:lang w:val="en-GB"/>
    </w:rPr>
  </w:style>
  <w:style w:type="paragraph" w:customStyle="1" w:styleId="StyleSymbolTimesNewRomanBold9ptBoldLeft0cmHangi4">
    <w:name w:val="Style (Symbol) Times New Roman Bold 9 pt Bold Left:  0 cm Hangi...4"/>
    <w:basedOn w:val="a2"/>
    <w:rsid w:val="00A5269A"/>
    <w:pPr>
      <w:spacing w:line="228" w:lineRule="auto"/>
      <w:ind w:left="228" w:hanging="228"/>
    </w:pPr>
    <w:rPr>
      <w:rFonts w:ascii="Arial" w:hAnsi="Arial"/>
      <w:b/>
      <w:bCs/>
      <w:spacing w:val="-6"/>
      <w:sz w:val="18"/>
      <w:szCs w:val="20"/>
      <w:lang w:val="en-GB"/>
    </w:rPr>
  </w:style>
  <w:style w:type="character" w:customStyle="1" w:styleId="Style14ptItalicBlueSmallcaps">
    <w:name w:val="Style 14 pt Italic Blue Small caps"/>
    <w:rsid w:val="00A5269A"/>
    <w:rPr>
      <w:rFonts w:ascii="Arial" w:hAnsi="Arial"/>
      <w:i/>
      <w:iCs/>
      <w:smallCaps/>
      <w:color w:val="0000FF"/>
      <w:sz w:val="28"/>
    </w:rPr>
  </w:style>
  <w:style w:type="paragraph" w:customStyle="1" w:styleId="StyleSymbolTimesNewRomanBold9ptBoldLeft0cmHangi5">
    <w:name w:val="Style (Symbol) Times New Roman Bold 9 pt Bold Left:  0 cm Hangi...5"/>
    <w:basedOn w:val="a2"/>
    <w:rsid w:val="00A5269A"/>
    <w:pPr>
      <w:spacing w:line="228" w:lineRule="auto"/>
      <w:ind w:left="228" w:hanging="228"/>
    </w:pPr>
    <w:rPr>
      <w:rFonts w:ascii="Arial" w:hAnsi="Arial"/>
      <w:b/>
      <w:bCs/>
      <w:spacing w:val="-6"/>
      <w:sz w:val="18"/>
      <w:szCs w:val="20"/>
      <w:lang w:val="en-GB"/>
    </w:rPr>
  </w:style>
  <w:style w:type="character" w:customStyle="1" w:styleId="Style14ptItalicRedSmallcaps">
    <w:name w:val="Style 14 pt Italic Red Small caps"/>
    <w:rsid w:val="00A5269A"/>
    <w:rPr>
      <w:rFonts w:ascii="Arial" w:hAnsi="Arial"/>
      <w:i/>
      <w:iCs/>
      <w:smallCaps/>
      <w:color w:val="FF0000"/>
      <w:sz w:val="28"/>
    </w:rPr>
  </w:style>
  <w:style w:type="paragraph" w:customStyle="1" w:styleId="StyleTablenumbers1BoldAllcapsCentered">
    <w:name w:val="Style Table numbers1 + Bold All caps Centered"/>
    <w:basedOn w:val="Tablenumbers1"/>
    <w:rsid w:val="00A5269A"/>
    <w:pPr>
      <w:jc w:val="center"/>
    </w:pPr>
    <w:rPr>
      <w:b/>
      <w:bCs/>
      <w:caps/>
    </w:rPr>
  </w:style>
  <w:style w:type="paragraph" w:customStyle="1" w:styleId="StyleSymbolTimesNewRomanBold9ptBoldLeft0cmHangi6">
    <w:name w:val="Style (Symbol) Times New Roman Bold 9 pt Bold Left:  0 cm Hangi...6"/>
    <w:basedOn w:val="a2"/>
    <w:rsid w:val="00A5269A"/>
    <w:pPr>
      <w:spacing w:line="228" w:lineRule="auto"/>
      <w:ind w:left="228" w:hanging="228"/>
    </w:pPr>
    <w:rPr>
      <w:rFonts w:ascii="Arial" w:hAnsi="Arial"/>
      <w:b/>
      <w:bCs/>
      <w:spacing w:val="-6"/>
      <w:sz w:val="18"/>
      <w:szCs w:val="20"/>
      <w:lang w:val="en-GB"/>
    </w:rPr>
  </w:style>
  <w:style w:type="paragraph" w:customStyle="1" w:styleId="Style9ptBoldCentered1">
    <w:name w:val="Style 9 pt Bold Centered1"/>
    <w:basedOn w:val="a2"/>
    <w:rsid w:val="00A5269A"/>
    <w:pPr>
      <w:jc w:val="center"/>
    </w:pPr>
    <w:rPr>
      <w:rFonts w:ascii="Arial" w:hAnsi="Arial"/>
      <w:b/>
      <w:bCs/>
      <w:sz w:val="18"/>
      <w:szCs w:val="20"/>
      <w:lang w:val="en-GB"/>
    </w:rPr>
  </w:style>
  <w:style w:type="paragraph" w:customStyle="1" w:styleId="Style9ptBoldCentered2">
    <w:name w:val="Style 9 pt Bold Centered2"/>
    <w:basedOn w:val="a2"/>
    <w:rsid w:val="00A5269A"/>
    <w:pPr>
      <w:jc w:val="center"/>
    </w:pPr>
    <w:rPr>
      <w:rFonts w:ascii="Arial" w:hAnsi="Arial"/>
      <w:b/>
      <w:bCs/>
      <w:spacing w:val="-2"/>
      <w:sz w:val="18"/>
      <w:szCs w:val="20"/>
      <w:lang w:val="en-GB"/>
    </w:rPr>
  </w:style>
  <w:style w:type="paragraph" w:customStyle="1" w:styleId="xl50">
    <w:name w:val="xl50"/>
    <w:basedOn w:val="a2"/>
    <w:rsid w:val="00A5269A"/>
    <w:pPr>
      <w:spacing w:before="100" w:beforeAutospacing="1" w:after="100" w:afterAutospacing="1"/>
    </w:pPr>
    <w:rPr>
      <w:rFonts w:eastAsia="Arial Unicode MS"/>
      <w:b/>
      <w:bCs/>
      <w:sz w:val="18"/>
      <w:szCs w:val="18"/>
      <w:lang w:val="en-GB"/>
    </w:rPr>
  </w:style>
  <w:style w:type="paragraph" w:customStyle="1" w:styleId="StyleABC-paragrahinNotesBold">
    <w:name w:val="Style ABC - paragrah in Notes + Bold"/>
    <w:basedOn w:val="a2"/>
    <w:link w:val="StyleABC-paragrahinNotesBoldChar"/>
    <w:rsid w:val="00A5269A"/>
    <w:pPr>
      <w:spacing w:after="240"/>
      <w:jc w:val="both"/>
    </w:pPr>
    <w:rPr>
      <w:rFonts w:ascii="Arial" w:hAnsi="Arial"/>
      <w:b/>
      <w:bCs/>
      <w:sz w:val="20"/>
      <w:szCs w:val="20"/>
      <w:lang w:val="en-GB"/>
    </w:rPr>
  </w:style>
  <w:style w:type="character" w:customStyle="1" w:styleId="StyleABC-paragrahinNotesBoldChar">
    <w:name w:val="Style ABC - paragrah in Notes + Bold Char"/>
    <w:link w:val="StyleABC-paragrahinNotesBold"/>
    <w:rsid w:val="00A5269A"/>
    <w:rPr>
      <w:rFonts w:ascii="Arial" w:eastAsia="Times New Roman" w:hAnsi="Arial" w:cs="Times New Roman"/>
      <w:b/>
      <w:bCs/>
      <w:sz w:val="20"/>
      <w:szCs w:val="20"/>
      <w:lang w:val="en-GB"/>
    </w:rPr>
  </w:style>
  <w:style w:type="paragraph" w:styleId="afff8">
    <w:name w:val="Body Text First Indent"/>
    <w:basedOn w:val="afb"/>
    <w:link w:val="afff9"/>
    <w:rsid w:val="00A5269A"/>
    <w:pPr>
      <w:widowControl/>
      <w:spacing w:after="120"/>
      <w:ind w:firstLine="210"/>
      <w:jc w:val="left"/>
    </w:pPr>
    <w:rPr>
      <w:rFonts w:ascii="Arial" w:hAnsi="Arial"/>
      <w:snapToGrid/>
      <w:sz w:val="18"/>
      <w:lang w:val="en-GB" w:eastAsia="en-US"/>
    </w:rPr>
  </w:style>
  <w:style w:type="character" w:customStyle="1" w:styleId="afff9">
    <w:name w:val="Красная строка Знак"/>
    <w:basedOn w:val="afc"/>
    <w:link w:val="afff8"/>
    <w:rsid w:val="00A5269A"/>
    <w:rPr>
      <w:rFonts w:ascii="Arial" w:eastAsia="Times New Roman" w:hAnsi="Arial" w:cs="Times New Roman"/>
      <w:snapToGrid/>
      <w:sz w:val="18"/>
      <w:szCs w:val="20"/>
      <w:lang w:val="en-GB" w:eastAsia="x-none"/>
    </w:rPr>
  </w:style>
  <w:style w:type="paragraph" w:customStyle="1" w:styleId="ABC-Comments">
    <w:name w:val="ABC - Comments"/>
    <w:basedOn w:val="ABC-paragrahinNotes"/>
    <w:rsid w:val="00A5269A"/>
    <w:rPr>
      <w:i/>
      <w:color w:val="FF0000"/>
    </w:rPr>
  </w:style>
  <w:style w:type="character" w:customStyle="1" w:styleId="ABC-paragrahinNotesChar">
    <w:name w:val="ABC - paragrah in Notes Char"/>
    <w:rsid w:val="00A5269A"/>
    <w:rPr>
      <w:rFonts w:ascii="Arial" w:hAnsi="Arial"/>
      <w:lang w:val="en-GB" w:eastAsia="en-US" w:bidi="ar-SA"/>
    </w:rPr>
  </w:style>
  <w:style w:type="character" w:customStyle="1" w:styleId="ABC-CommentsChar">
    <w:name w:val="ABC - Comments Char"/>
    <w:rsid w:val="00A5269A"/>
    <w:rPr>
      <w:rFonts w:ascii="Arial" w:hAnsi="Arial"/>
      <w:i/>
      <w:color w:val="FF0000"/>
      <w:lang w:val="en-GB" w:eastAsia="en-US" w:bidi="ar-SA"/>
    </w:rPr>
  </w:style>
  <w:style w:type="paragraph" w:customStyle="1" w:styleId="RowHeader0">
    <w:name w:val="Row Header +"/>
    <w:basedOn w:val="Rowheader"/>
    <w:rsid w:val="00A5269A"/>
    <w:pPr>
      <w:spacing w:before="60" w:after="60"/>
    </w:pPr>
    <w:rPr>
      <w:rFonts w:cs="Arial"/>
    </w:rPr>
  </w:style>
  <w:style w:type="paragraph" w:customStyle="1" w:styleId="StyleRowheaderLinespacingMultiple095li">
    <w:name w:val="Style Row header + Line spacing:  Multiple 0.95 li"/>
    <w:basedOn w:val="Rowheader"/>
    <w:rsid w:val="00A5269A"/>
    <w:pPr>
      <w:spacing w:before="20" w:line="228" w:lineRule="auto"/>
    </w:pPr>
    <w:rPr>
      <w:bCs/>
    </w:rPr>
  </w:style>
  <w:style w:type="paragraph" w:customStyle="1" w:styleId="StyleTabletextLinespacingMultiple095li">
    <w:name w:val="Style Table text + Line spacing:  Multiple 0.95 li"/>
    <w:basedOn w:val="Tabletext"/>
    <w:rsid w:val="00A5269A"/>
    <w:pPr>
      <w:spacing w:before="20" w:line="228" w:lineRule="auto"/>
    </w:pPr>
  </w:style>
  <w:style w:type="paragraph" w:customStyle="1" w:styleId="text">
    <w:name w:val="text"/>
    <w:basedOn w:val="a2"/>
    <w:rsid w:val="00A5269A"/>
    <w:pPr>
      <w:spacing w:after="100" w:line="300" w:lineRule="atLeast"/>
      <w:jc w:val="both"/>
    </w:pPr>
    <w:rPr>
      <w:rFonts w:ascii="Times" w:hAnsi="Times"/>
      <w:sz w:val="22"/>
      <w:szCs w:val="20"/>
      <w:lang w:val="en-US" w:eastAsia="cs-CZ"/>
    </w:rPr>
  </w:style>
  <w:style w:type="paragraph" w:customStyle="1" w:styleId="StyleABC-paragrahinNotesAfter10pt">
    <w:name w:val="Style ABC - paragrah in Notes + After:  10 pt"/>
    <w:basedOn w:val="ABC-paragrahinNotes"/>
    <w:rsid w:val="00A5269A"/>
    <w:pPr>
      <w:spacing w:after="200"/>
    </w:pPr>
    <w:rPr>
      <w:sz w:val="18"/>
    </w:rPr>
  </w:style>
  <w:style w:type="paragraph" w:customStyle="1" w:styleId="StyleABC-paragrahinNotesAfter0pt">
    <w:name w:val="Style ABC - paragrah in Notes + After:  0 pt"/>
    <w:basedOn w:val="ABC-paragrahinNotes"/>
    <w:rsid w:val="00A5269A"/>
    <w:pPr>
      <w:spacing w:after="0"/>
    </w:pPr>
    <w:rPr>
      <w:sz w:val="18"/>
    </w:rPr>
  </w:style>
  <w:style w:type="paragraph" w:customStyle="1" w:styleId="afffa">
    <w:name w:val="Îáû÷íûé"/>
    <w:rsid w:val="00A5269A"/>
    <w:pPr>
      <w:spacing w:line="240" w:lineRule="auto"/>
    </w:pPr>
    <w:rPr>
      <w:rFonts w:ascii="Times New Roman" w:eastAsia="Times New Roman" w:hAnsi="Times New Roman" w:cs="Times New Roman"/>
      <w:sz w:val="20"/>
      <w:szCs w:val="20"/>
    </w:rPr>
  </w:style>
  <w:style w:type="paragraph" w:customStyle="1" w:styleId="StyleContinued9pt">
    <w:name w:val="Style Continued + 9 pt"/>
    <w:basedOn w:val="Continued"/>
    <w:rsid w:val="00A5269A"/>
    <w:rPr>
      <w:bCs/>
    </w:rPr>
  </w:style>
  <w:style w:type="character" w:customStyle="1" w:styleId="ContinuedChar">
    <w:name w:val="Continued Char"/>
    <w:rsid w:val="00A5269A"/>
    <w:rPr>
      <w:rFonts w:ascii="Arial" w:hAnsi="Arial"/>
      <w:b/>
      <w:lang w:val="en-US" w:eastAsia="en-US" w:bidi="ar-SA"/>
    </w:rPr>
  </w:style>
  <w:style w:type="character" w:customStyle="1" w:styleId="StyleContinued9ptChar">
    <w:name w:val="Style Continued + 9 pt Char"/>
    <w:rsid w:val="00A5269A"/>
    <w:rPr>
      <w:rFonts w:ascii="Arial" w:hAnsi="Arial"/>
      <w:b/>
      <w:bCs/>
      <w:lang w:val="en-US" w:eastAsia="en-US" w:bidi="ar-SA"/>
    </w:rPr>
  </w:style>
  <w:style w:type="character" w:customStyle="1" w:styleId="ABC-r-paragraphinNotesChar">
    <w:name w:val="ABC-r - paragraph in Notes Char"/>
    <w:rsid w:val="00A5269A"/>
    <w:rPr>
      <w:rFonts w:ascii="Arial" w:hAnsi="Arial"/>
      <w:sz w:val="18"/>
      <w:lang w:val="ru-RU" w:eastAsia="en-US" w:bidi="ar-SA"/>
    </w:rPr>
  </w:style>
  <w:style w:type="character" w:customStyle="1" w:styleId="Heading1Char">
    <w:name w:val="Heading 1 Char"/>
    <w:uiPriority w:val="9"/>
    <w:rsid w:val="00A5269A"/>
    <w:rPr>
      <w:rFonts w:ascii="Arial" w:hAnsi="Arial"/>
      <w:b/>
      <w:kern w:val="28"/>
      <w:lang w:val="en-GB" w:eastAsia="en-US" w:bidi="ar-SA"/>
    </w:rPr>
  </w:style>
  <w:style w:type="paragraph" w:customStyle="1" w:styleId="ABCLatinnumbering">
    <w:name w:val="ABC Latin numbering"/>
    <w:basedOn w:val="ABC-paragrahinNotes"/>
    <w:rsid w:val="00A5269A"/>
    <w:rPr>
      <w:rFonts w:cs="Arial"/>
      <w:snapToGrid w:val="0"/>
      <w:spacing w:val="-4"/>
    </w:rPr>
  </w:style>
  <w:style w:type="paragraph" w:customStyle="1" w:styleId="ABC-paragrahinNotes0">
    <w:name w:val="ABC - paragrah in Notes Знак"/>
    <w:link w:val="ABC-paragrahinNotes1"/>
    <w:rsid w:val="00A5269A"/>
    <w:pPr>
      <w:spacing w:after="240" w:line="240" w:lineRule="auto"/>
      <w:jc w:val="both"/>
    </w:pPr>
    <w:rPr>
      <w:rFonts w:ascii="Arial" w:eastAsia="Times New Roman" w:hAnsi="Arial" w:cs="Times New Roman"/>
      <w:sz w:val="18"/>
      <w:szCs w:val="20"/>
      <w:lang w:val="en-GB"/>
    </w:rPr>
  </w:style>
  <w:style w:type="character" w:customStyle="1" w:styleId="ABC-paragrahinNotes1">
    <w:name w:val="ABC - paragrah in Notes Знак Знак"/>
    <w:link w:val="ABC-paragrahinNotes0"/>
    <w:rsid w:val="00A5269A"/>
    <w:rPr>
      <w:rFonts w:ascii="Arial" w:eastAsia="Times New Roman" w:hAnsi="Arial" w:cs="Times New Roman"/>
      <w:sz w:val="18"/>
      <w:szCs w:val="20"/>
      <w:lang w:val="en-GB"/>
    </w:rPr>
  </w:style>
  <w:style w:type="paragraph" w:customStyle="1" w:styleId="PwCAddress">
    <w:name w:val="PwC Address"/>
    <w:basedOn w:val="a2"/>
    <w:link w:val="PwCAddressChar"/>
    <w:qFormat/>
    <w:rsid w:val="00A5269A"/>
    <w:pPr>
      <w:spacing w:line="200" w:lineRule="atLeast"/>
    </w:pPr>
    <w:rPr>
      <w:rFonts w:ascii="Georgia" w:eastAsia="Calibri" w:hAnsi="Georgia"/>
      <w:i/>
      <w:noProof/>
      <w:sz w:val="18"/>
      <w:szCs w:val="22"/>
      <w:lang w:val="en-GB" w:eastAsia="en-GB"/>
    </w:rPr>
  </w:style>
  <w:style w:type="character" w:customStyle="1" w:styleId="PwCAddressChar">
    <w:name w:val="PwC Address Char"/>
    <w:link w:val="PwCAddress"/>
    <w:rsid w:val="00A5269A"/>
    <w:rPr>
      <w:rFonts w:ascii="Georgia" w:eastAsia="Calibri" w:hAnsi="Georgia" w:cs="Times New Roman"/>
      <w:i/>
      <w:noProof/>
      <w:sz w:val="18"/>
      <w:lang w:val="en-GB" w:eastAsia="en-GB"/>
    </w:rPr>
  </w:style>
  <w:style w:type="character" w:customStyle="1" w:styleId="ABC-paragrahinNotesChar2">
    <w:name w:val="ABC - paragrah in Notes Char2"/>
    <w:rsid w:val="00A5269A"/>
    <w:rPr>
      <w:rFonts w:ascii="Arial" w:hAnsi="Arial"/>
      <w:lang w:val="en-GB" w:eastAsia="en-US" w:bidi="ar-SA"/>
    </w:rPr>
  </w:style>
  <w:style w:type="character" w:customStyle="1" w:styleId="tw4winMark">
    <w:name w:val="tw4winMark"/>
    <w:uiPriority w:val="99"/>
    <w:rsid w:val="00A5269A"/>
    <w:rPr>
      <w:rFonts w:ascii="Courier New" w:hAnsi="Courier New"/>
      <w:vanish/>
      <w:color w:val="800080"/>
      <w:vertAlign w:val="subscript"/>
    </w:rPr>
  </w:style>
  <w:style w:type="character" w:customStyle="1" w:styleId="shorttext">
    <w:name w:val="short_text"/>
    <w:basedOn w:val="a3"/>
    <w:rsid w:val="00A5269A"/>
  </w:style>
  <w:style w:type="paragraph" w:styleId="afffb">
    <w:name w:val="Revision"/>
    <w:hidden/>
    <w:uiPriority w:val="99"/>
    <w:semiHidden/>
    <w:rsid w:val="00A5269A"/>
    <w:pPr>
      <w:spacing w:line="240" w:lineRule="auto"/>
    </w:pPr>
    <w:rPr>
      <w:rFonts w:ascii="Arial" w:eastAsia="Times New Roman" w:hAnsi="Arial" w:cs="Times New Roman"/>
      <w:sz w:val="18"/>
      <w:szCs w:val="20"/>
      <w:lang w:val="en-GB"/>
    </w:rPr>
  </w:style>
  <w:style w:type="paragraph" w:customStyle="1" w:styleId="xl67">
    <w:name w:val="xl67"/>
    <w:basedOn w:val="a2"/>
    <w:rsid w:val="00A5269A"/>
    <w:pPr>
      <w:numPr>
        <w:numId w:val="16"/>
      </w:numPr>
      <w:spacing w:before="100" w:beforeAutospacing="1" w:after="100" w:afterAutospacing="1"/>
      <w:ind w:left="0" w:firstLine="0"/>
      <w:jc w:val="right"/>
    </w:pPr>
    <w:rPr>
      <w:rFonts w:ascii="Univers 45 Light" w:eastAsia="Arial Unicode MS" w:hAnsi="Univers 45 Light"/>
      <w:sz w:val="18"/>
      <w:szCs w:val="18"/>
      <w:lang w:val="en-GB"/>
    </w:rPr>
  </w:style>
  <w:style w:type="paragraph" w:styleId="a0">
    <w:name w:val="List Bullet"/>
    <w:basedOn w:val="a2"/>
    <w:rsid w:val="00A5269A"/>
    <w:pPr>
      <w:numPr>
        <w:numId w:val="8"/>
      </w:numPr>
      <w:contextualSpacing/>
    </w:pPr>
    <w:rPr>
      <w:rFonts w:ascii="Arial" w:hAnsi="Arial"/>
      <w:sz w:val="18"/>
      <w:szCs w:val="20"/>
      <w:lang w:val="en-GB"/>
    </w:rPr>
  </w:style>
  <w:style w:type="character" w:customStyle="1" w:styleId="StyleUnivers45Light9pt">
    <w:name w:val="Style Univers 45 Light 9 pt"/>
    <w:uiPriority w:val="99"/>
    <w:rsid w:val="00A5269A"/>
    <w:rPr>
      <w:rFonts w:ascii="Univers 45 Light" w:hAnsi="Univers 45 Light"/>
      <w:sz w:val="18"/>
    </w:rPr>
  </w:style>
  <w:style w:type="paragraph" w:styleId="afffc">
    <w:name w:val="TOC Heading"/>
    <w:basedOn w:val="10"/>
    <w:next w:val="a2"/>
    <w:uiPriority w:val="39"/>
    <w:unhideWhenUsed/>
    <w:qFormat/>
    <w:rsid w:val="00A5269A"/>
    <w:pPr>
      <w:pBdr>
        <w:bottom w:val="none" w:sz="0" w:space="0" w:color="auto"/>
      </w:pBdr>
      <w:spacing w:before="480" w:after="0" w:line="276" w:lineRule="auto"/>
      <w:outlineLvl w:val="9"/>
    </w:pPr>
    <w:rPr>
      <w:rFonts w:ascii="Cambria" w:eastAsia="MS Gothic" w:hAnsi="Cambria" w:cs="Times New Roman"/>
      <w:b/>
      <w:bCs/>
      <w:color w:val="365F91"/>
      <w:sz w:val="28"/>
      <w:szCs w:val="28"/>
      <w:lang w:val="en-US" w:eastAsia="ja-JP"/>
    </w:rPr>
  </w:style>
  <w:style w:type="paragraph" w:customStyle="1" w:styleId="100FreeStyle">
    <w:name w:val="100 Free Style"/>
    <w:basedOn w:val="a2"/>
    <w:rsid w:val="00A5269A"/>
    <w:pPr>
      <w:overflowPunct w:val="0"/>
      <w:autoSpaceDE w:val="0"/>
      <w:autoSpaceDN w:val="0"/>
      <w:adjustRightInd w:val="0"/>
      <w:spacing w:after="200"/>
      <w:textAlignment w:val="baseline"/>
    </w:pPr>
    <w:rPr>
      <w:rFonts w:ascii="Palatino Linotype" w:hAnsi="Palatino Linotype"/>
      <w:b/>
      <w:bCs/>
      <w:sz w:val="36"/>
      <w:szCs w:val="20"/>
      <w:lang w:val="en-GB"/>
    </w:rPr>
  </w:style>
  <w:style w:type="character" w:customStyle="1" w:styleId="200Tableleft0">
    <w:name w:val="200 Table left Знак"/>
    <w:link w:val="200Tableleft"/>
    <w:rsid w:val="00A5269A"/>
    <w:rPr>
      <w:rFonts w:ascii="Garamond" w:eastAsia="Batang" w:hAnsi="Garamond" w:cs="Times New Roman"/>
      <w:sz w:val="20"/>
      <w:szCs w:val="20"/>
      <w:lang w:val="en-GB"/>
    </w:rPr>
  </w:style>
  <w:style w:type="paragraph" w:customStyle="1" w:styleId="VTB0202">
    <w:name w:val="VTB0202"/>
    <w:basedOn w:val="a2"/>
    <w:qFormat/>
    <w:rsid w:val="00A5269A"/>
    <w:pPr>
      <w:overflowPunct w:val="0"/>
      <w:autoSpaceDE w:val="0"/>
      <w:autoSpaceDN w:val="0"/>
      <w:adjustRightInd w:val="0"/>
      <w:spacing w:before="120"/>
      <w:jc w:val="both"/>
      <w:textAlignment w:val="baseline"/>
    </w:pPr>
    <w:rPr>
      <w:rFonts w:ascii="Garamond" w:hAnsi="Garamond" w:cs="Arial"/>
      <w:sz w:val="20"/>
      <w:szCs w:val="20"/>
    </w:rPr>
  </w:style>
  <w:style w:type="paragraph" w:customStyle="1" w:styleId="450HeaderOdd">
    <w:name w:val="450 Header Odd"/>
    <w:basedOn w:val="a2"/>
    <w:rsid w:val="00A5269A"/>
    <w:pPr>
      <w:pBdr>
        <w:bottom w:val="single" w:sz="4" w:space="1" w:color="auto"/>
      </w:pBdr>
      <w:tabs>
        <w:tab w:val="center" w:pos="4253"/>
        <w:tab w:val="right" w:pos="8505"/>
      </w:tabs>
      <w:overflowPunct w:val="0"/>
      <w:autoSpaceDE w:val="0"/>
      <w:autoSpaceDN w:val="0"/>
      <w:adjustRightInd w:val="0"/>
      <w:spacing w:after="40" w:line="220" w:lineRule="exact"/>
      <w:jc w:val="both"/>
      <w:textAlignment w:val="baseline"/>
    </w:pPr>
    <w:rPr>
      <w:rFonts w:ascii="Garamond" w:hAnsi="Garamond"/>
      <w:sz w:val="20"/>
      <w:szCs w:val="20"/>
      <w:lang w:val="en-GB"/>
    </w:rPr>
  </w:style>
  <w:style w:type="character" w:customStyle="1" w:styleId="NormaltextChar">
    <w:name w:val="Normal text Char"/>
    <w:link w:val="Normaltext"/>
    <w:rsid w:val="00A5269A"/>
    <w:rPr>
      <w:sz w:val="24"/>
      <w:szCs w:val="24"/>
    </w:rPr>
  </w:style>
  <w:style w:type="paragraph" w:customStyle="1" w:styleId="Normaltext">
    <w:name w:val="Normal text"/>
    <w:basedOn w:val="a2"/>
    <w:link w:val="NormaltextChar"/>
    <w:rsid w:val="00A5269A"/>
    <w:pPr>
      <w:overflowPunct w:val="0"/>
      <w:autoSpaceDE w:val="0"/>
      <w:autoSpaceDN w:val="0"/>
      <w:adjustRightInd w:val="0"/>
      <w:spacing w:line="240" w:lineRule="atLeast"/>
      <w:ind w:right="568"/>
      <w:jc w:val="both"/>
      <w:textAlignment w:val="baseline"/>
    </w:pPr>
    <w:rPr>
      <w:rFonts w:asciiTheme="minorHAnsi" w:eastAsiaTheme="minorHAnsi" w:hAnsiTheme="minorHAnsi" w:cstheme="minorBidi"/>
    </w:rPr>
  </w:style>
  <w:style w:type="paragraph" w:customStyle="1" w:styleId="N1">
    <w:name w:val="N1"/>
    <w:basedOn w:val="30"/>
    <w:uiPriority w:val="99"/>
    <w:qFormat/>
    <w:rsid w:val="00A5269A"/>
    <w:pPr>
      <w:keepNext w:val="0"/>
      <w:keepLines w:val="0"/>
      <w:numPr>
        <w:numId w:val="9"/>
      </w:numPr>
      <w:tabs>
        <w:tab w:val="clear" w:pos="2483"/>
        <w:tab w:val="clear" w:pos="4154"/>
        <w:tab w:val="clear" w:pos="5963"/>
        <w:tab w:val="clear" w:pos="7495"/>
        <w:tab w:val="clear" w:pos="9192"/>
        <w:tab w:val="left" w:pos="448"/>
      </w:tabs>
      <w:overflowPunct w:val="0"/>
      <w:autoSpaceDE w:val="0"/>
      <w:autoSpaceDN w:val="0"/>
      <w:adjustRightInd w:val="0"/>
      <w:spacing w:before="240"/>
      <w:textAlignment w:val="baseline"/>
    </w:pPr>
    <w:rPr>
      <w:rFonts w:ascii="Palatino Linotype" w:hAnsi="Palatino Linotype" w:cs="Arial"/>
      <w:sz w:val="22"/>
      <w:szCs w:val="22"/>
      <w:lang w:val="ru-RU"/>
    </w:rPr>
  </w:style>
  <w:style w:type="paragraph" w:customStyle="1" w:styleId="06032012111">
    <w:name w:val="06.03.2012 111"/>
    <w:basedOn w:val="a2"/>
    <w:qFormat/>
    <w:rsid w:val="00A5269A"/>
    <w:pPr>
      <w:tabs>
        <w:tab w:val="num" w:pos="360"/>
        <w:tab w:val="left" w:pos="448"/>
      </w:tabs>
      <w:overflowPunct w:val="0"/>
      <w:autoSpaceDE w:val="0"/>
      <w:autoSpaceDN w:val="0"/>
      <w:adjustRightInd w:val="0"/>
      <w:spacing w:before="240"/>
      <w:textAlignment w:val="baseline"/>
      <w:outlineLvl w:val="2"/>
    </w:pPr>
    <w:rPr>
      <w:rFonts w:ascii="Palatino Linotype" w:hAnsi="Palatino Linotype" w:cs="Arial"/>
      <w:b/>
      <w:sz w:val="22"/>
      <w:szCs w:val="22"/>
    </w:rPr>
  </w:style>
  <w:style w:type="paragraph" w:customStyle="1" w:styleId="06032012333">
    <w:name w:val="06.03.2012 333"/>
    <w:basedOn w:val="a2"/>
    <w:qFormat/>
    <w:rsid w:val="00A5269A"/>
    <w:pPr>
      <w:spacing w:before="240"/>
      <w:jc w:val="both"/>
    </w:pPr>
    <w:rPr>
      <w:rFonts w:ascii="Palatino Linotype" w:hAnsi="Palatino Linotype" w:cs="Times"/>
      <w:b/>
      <w:bCs/>
      <w:sz w:val="18"/>
      <w:lang w:eastAsia="ru-RU"/>
    </w:rPr>
  </w:style>
  <w:style w:type="paragraph" w:customStyle="1" w:styleId="0">
    <w:name w:val="Заголовок 0"/>
    <w:basedOn w:val="06032012111"/>
    <w:qFormat/>
    <w:rsid w:val="001024FD"/>
    <w:pPr>
      <w:jc w:val="center"/>
    </w:pPr>
  </w:style>
  <w:style w:type="paragraph" w:customStyle="1" w:styleId="StyleBodyTextGaramond10ptRight017cm">
    <w:name w:val="Style Body Text + Garamond 10 pt Right:  017 cm"/>
    <w:basedOn w:val="afb"/>
    <w:link w:val="StyleBodyTextGaramond10ptRight017cm0"/>
    <w:rsid w:val="00A5269A"/>
    <w:pPr>
      <w:widowControl/>
      <w:overflowPunct w:val="0"/>
      <w:autoSpaceDE w:val="0"/>
      <w:autoSpaceDN w:val="0"/>
      <w:adjustRightInd w:val="0"/>
      <w:spacing w:before="120"/>
      <w:ind w:right="96"/>
      <w:textAlignment w:val="baseline"/>
    </w:pPr>
    <w:rPr>
      <w:rFonts w:ascii="Garamond" w:hAnsi="Garamond" w:cs="Times"/>
      <w:snapToGrid/>
      <w:szCs w:val="24"/>
      <w:lang w:val="en-GB" w:eastAsia="en-US"/>
    </w:rPr>
  </w:style>
  <w:style w:type="character" w:customStyle="1" w:styleId="StyleBodyTextGaramond10ptRight017cm0">
    <w:name w:val="Style Body Text + Garamond 10 pt Right:  017 cm Знак"/>
    <w:link w:val="StyleBodyTextGaramond10ptRight017cm"/>
    <w:rsid w:val="00A5269A"/>
    <w:rPr>
      <w:rFonts w:ascii="Garamond" w:eastAsia="Times New Roman" w:hAnsi="Garamond" w:cs="Times"/>
      <w:sz w:val="24"/>
      <w:szCs w:val="24"/>
      <w:lang w:val="en-GB"/>
    </w:rPr>
  </w:style>
  <w:style w:type="paragraph" w:customStyle="1" w:styleId="StyleNormaltextGaramond10ptItalicRight017cm">
    <w:name w:val="Style Normal text + Garamond 10 pt Italic Right:  017 cm"/>
    <w:basedOn w:val="a2"/>
    <w:link w:val="StyleNormaltextGaramond10ptItalicRight017cm0"/>
    <w:rsid w:val="00A5269A"/>
    <w:pPr>
      <w:overflowPunct w:val="0"/>
      <w:autoSpaceDE w:val="0"/>
      <w:autoSpaceDN w:val="0"/>
      <w:adjustRightInd w:val="0"/>
      <w:spacing w:before="240"/>
      <w:ind w:right="96"/>
      <w:jc w:val="both"/>
      <w:textAlignment w:val="baseline"/>
    </w:pPr>
    <w:rPr>
      <w:rFonts w:ascii="Garamond" w:hAnsi="Garamond" w:cs="Times"/>
      <w:i/>
      <w:iCs/>
      <w:lang w:val="en-GB"/>
    </w:rPr>
  </w:style>
  <w:style w:type="character" w:customStyle="1" w:styleId="StyleNormaltextGaramond10ptItalicRight017cm0">
    <w:name w:val="Style Normal text + Garamond 10 pt Italic Right:  017 cm Знак"/>
    <w:link w:val="StyleNormaltextGaramond10ptItalicRight017cm"/>
    <w:rsid w:val="00A5269A"/>
    <w:rPr>
      <w:rFonts w:ascii="Garamond" w:eastAsia="Times New Roman" w:hAnsi="Garamond" w:cs="Times"/>
      <w:i/>
      <w:iCs/>
      <w:sz w:val="24"/>
      <w:szCs w:val="24"/>
      <w:lang w:val="en-GB"/>
    </w:rPr>
  </w:style>
  <w:style w:type="paragraph" w:customStyle="1" w:styleId="Style3">
    <w:name w:val="Style3"/>
    <w:basedOn w:val="000Normal"/>
    <w:qFormat/>
    <w:rsid w:val="00A5269A"/>
    <w:pPr>
      <w:spacing w:before="240" w:after="0" w:line="240" w:lineRule="auto"/>
      <w:ind w:right="-23"/>
      <w:jc w:val="left"/>
    </w:pPr>
    <w:rPr>
      <w:rFonts w:eastAsia="Times New Roman" w:cs="Arial"/>
      <w:i/>
      <w:lang w:val="ru-RU"/>
    </w:rPr>
  </w:style>
  <w:style w:type="paragraph" w:customStyle="1" w:styleId="Heading3">
    <w:name w:val="Heading3"/>
    <w:basedOn w:val="000Normal"/>
    <w:autoRedefine/>
    <w:rsid w:val="00A5269A"/>
    <w:pPr>
      <w:spacing w:before="240" w:after="0" w:line="240" w:lineRule="auto"/>
      <w:ind w:right="-23"/>
    </w:pPr>
    <w:rPr>
      <w:rFonts w:eastAsia="Times New Roman"/>
      <w:i/>
      <w:lang w:val="en-US"/>
    </w:rPr>
  </w:style>
  <w:style w:type="paragraph" w:customStyle="1" w:styleId="Style4">
    <w:name w:val="Style4"/>
    <w:basedOn w:val="000Normal"/>
    <w:qFormat/>
    <w:rsid w:val="00A5269A"/>
    <w:pPr>
      <w:spacing w:before="240" w:after="0" w:line="240" w:lineRule="auto"/>
    </w:pPr>
    <w:rPr>
      <w:rFonts w:eastAsia="Times New Roman"/>
      <w:i/>
      <w:lang w:val="en-US"/>
    </w:rPr>
  </w:style>
  <w:style w:type="paragraph" w:customStyle="1" w:styleId="Style5">
    <w:name w:val="Style5"/>
    <w:basedOn w:val="Style3"/>
    <w:uiPriority w:val="99"/>
    <w:qFormat/>
    <w:rsid w:val="00A5269A"/>
    <w:pPr>
      <w:spacing w:before="120"/>
      <w:ind w:right="0"/>
      <w:jc w:val="both"/>
    </w:pPr>
    <w:rPr>
      <w:i w:val="0"/>
      <w:lang w:val="en-US"/>
    </w:rPr>
  </w:style>
  <w:style w:type="paragraph" w:customStyle="1" w:styleId="VTB0101">
    <w:name w:val="VTB0101"/>
    <w:basedOn w:val="N1"/>
    <w:qFormat/>
    <w:rsid w:val="00A5269A"/>
    <w:pPr>
      <w:numPr>
        <w:numId w:val="0"/>
      </w:numPr>
      <w:tabs>
        <w:tab w:val="num" w:pos="360"/>
      </w:tabs>
      <w:ind w:left="502" w:hanging="360"/>
    </w:pPr>
  </w:style>
  <w:style w:type="paragraph" w:customStyle="1" w:styleId="VTB0303">
    <w:name w:val="VTB0303"/>
    <w:basedOn w:val="a2"/>
    <w:qFormat/>
    <w:rsid w:val="00A5269A"/>
    <w:pPr>
      <w:spacing w:before="240"/>
      <w:ind w:right="125"/>
      <w:jc w:val="both"/>
    </w:pPr>
    <w:rPr>
      <w:rFonts w:ascii="Palatino Linotype" w:hAnsi="Palatino Linotype" w:cs="Times"/>
      <w:b/>
      <w:bCs/>
      <w:sz w:val="18"/>
      <w:lang w:eastAsia="ru-RU"/>
    </w:rPr>
  </w:style>
  <w:style w:type="paragraph" w:customStyle="1" w:styleId="ZSSB0101">
    <w:name w:val="ZSSB0101"/>
    <w:basedOn w:val="VTB0101"/>
    <w:qFormat/>
    <w:rsid w:val="00A5269A"/>
    <w:pPr>
      <w:ind w:left="0" w:firstLine="0"/>
    </w:pPr>
  </w:style>
  <w:style w:type="paragraph" w:customStyle="1" w:styleId="Normaltext0">
    <w:name w:val="Normal text Знак"/>
    <w:basedOn w:val="a2"/>
    <w:link w:val="Normaltext1"/>
    <w:uiPriority w:val="99"/>
    <w:rsid w:val="00A5269A"/>
    <w:pPr>
      <w:overflowPunct w:val="0"/>
      <w:autoSpaceDE w:val="0"/>
      <w:autoSpaceDN w:val="0"/>
      <w:adjustRightInd w:val="0"/>
      <w:spacing w:line="240" w:lineRule="atLeast"/>
      <w:ind w:right="568"/>
      <w:jc w:val="both"/>
      <w:textAlignment w:val="baseline"/>
    </w:pPr>
    <w:rPr>
      <w:lang w:val="en-GB"/>
    </w:rPr>
  </w:style>
  <w:style w:type="character" w:customStyle="1" w:styleId="Normaltext1">
    <w:name w:val="Normal text Знак Знак"/>
    <w:link w:val="Normaltext0"/>
    <w:uiPriority w:val="99"/>
    <w:rsid w:val="00A5269A"/>
    <w:rPr>
      <w:rFonts w:ascii="Times New Roman" w:eastAsia="Times New Roman" w:hAnsi="Times New Roman" w:cs="Times New Roman"/>
      <w:sz w:val="24"/>
      <w:szCs w:val="24"/>
      <w:lang w:val="en-GB"/>
    </w:rPr>
  </w:style>
  <w:style w:type="paragraph" w:customStyle="1" w:styleId="230Tablecenter">
    <w:name w:val="230 Table center"/>
    <w:basedOn w:val="a2"/>
    <w:uiPriority w:val="99"/>
    <w:rsid w:val="00A5269A"/>
    <w:pPr>
      <w:overflowPunct w:val="0"/>
      <w:autoSpaceDE w:val="0"/>
      <w:autoSpaceDN w:val="0"/>
      <w:adjustRightInd w:val="0"/>
      <w:spacing w:before="20" w:line="200" w:lineRule="exact"/>
      <w:jc w:val="center"/>
      <w:textAlignment w:val="baseline"/>
    </w:pPr>
    <w:rPr>
      <w:rFonts w:ascii="Garamond" w:hAnsi="Garamond"/>
      <w:sz w:val="20"/>
      <w:szCs w:val="20"/>
      <w:lang w:val="en-GB"/>
    </w:rPr>
  </w:style>
  <w:style w:type="paragraph" w:customStyle="1" w:styleId="210Tableright">
    <w:name w:val="210 Table right"/>
    <w:basedOn w:val="a2"/>
    <w:rsid w:val="00A5269A"/>
    <w:pPr>
      <w:overflowPunct w:val="0"/>
      <w:autoSpaceDE w:val="0"/>
      <w:autoSpaceDN w:val="0"/>
      <w:adjustRightInd w:val="0"/>
      <w:spacing w:before="20" w:line="200" w:lineRule="exact"/>
      <w:jc w:val="right"/>
      <w:textAlignment w:val="baseline"/>
    </w:pPr>
    <w:rPr>
      <w:rFonts w:ascii="Garamond" w:hAnsi="Garamond"/>
      <w:sz w:val="20"/>
      <w:szCs w:val="20"/>
      <w:lang w:val="en-GB"/>
    </w:rPr>
  </w:style>
  <w:style w:type="paragraph" w:customStyle="1" w:styleId="StyleStyleGaramond10ptBoldJustifiedRight022cmBefore6">
    <w:name w:val="Style Style Garamond 10 pt Bold Justified Right:  022 cm Before:  6..."/>
    <w:basedOn w:val="a2"/>
    <w:link w:val="StyleStyleGaramond10ptBoldJustifiedRight022cmBefore60"/>
    <w:rsid w:val="00A5269A"/>
    <w:pPr>
      <w:spacing w:before="240"/>
      <w:ind w:right="125"/>
      <w:jc w:val="both"/>
    </w:pPr>
    <w:rPr>
      <w:rFonts w:ascii="Palatino Linotype" w:hAnsi="Palatino Linotype" w:cs="Times"/>
      <w:b/>
      <w:bCs/>
      <w:sz w:val="18"/>
      <w:lang w:eastAsia="ru-RU"/>
    </w:rPr>
  </w:style>
  <w:style w:type="character" w:customStyle="1" w:styleId="StyleStyleGaramond10ptBoldJustifiedRight022cmBefore60">
    <w:name w:val="Style Style Garamond 10 pt Bold Justified Right:  022 cm Before:  6... Знак"/>
    <w:link w:val="StyleStyleGaramond10ptBoldJustifiedRight022cmBefore6"/>
    <w:rsid w:val="00A5269A"/>
    <w:rPr>
      <w:rFonts w:ascii="Palatino Linotype" w:eastAsia="Times New Roman" w:hAnsi="Palatino Linotype" w:cs="Times"/>
      <w:b/>
      <w:bCs/>
      <w:sz w:val="18"/>
      <w:szCs w:val="24"/>
      <w:lang w:eastAsia="ru-RU"/>
    </w:rPr>
  </w:style>
  <w:style w:type="character" w:customStyle="1" w:styleId="NotesbodytextChar">
    <w:name w:val="Notes body text Char"/>
    <w:link w:val="Notesbodytext"/>
    <w:locked/>
    <w:rsid w:val="00A5269A"/>
    <w:rPr>
      <w:rFonts w:ascii="EYInterstate Light" w:hAnsi="EYInterstate Light" w:cs="Arial"/>
      <w:color w:val="000000"/>
      <w:sz w:val="18"/>
    </w:rPr>
  </w:style>
  <w:style w:type="paragraph" w:customStyle="1" w:styleId="Notesbodytext">
    <w:name w:val="Notes body text"/>
    <w:basedOn w:val="afb"/>
    <w:link w:val="NotesbodytextChar"/>
    <w:rsid w:val="00A5269A"/>
    <w:pPr>
      <w:widowControl/>
      <w:overflowPunct w:val="0"/>
      <w:autoSpaceDE w:val="0"/>
      <w:autoSpaceDN w:val="0"/>
      <w:adjustRightInd w:val="0"/>
      <w:spacing w:after="120" w:line="240" w:lineRule="exact"/>
      <w:jc w:val="left"/>
    </w:pPr>
    <w:rPr>
      <w:rFonts w:ascii="EYInterstate Light" w:eastAsiaTheme="minorHAnsi" w:hAnsi="EYInterstate Light" w:cs="Arial"/>
      <w:snapToGrid/>
      <w:color w:val="000000"/>
      <w:sz w:val="18"/>
      <w:szCs w:val="22"/>
      <w:lang w:val="ru-RU" w:eastAsia="en-US"/>
    </w:rPr>
  </w:style>
  <w:style w:type="paragraph" w:customStyle="1" w:styleId="StyleGaramond10ptJustifiedBefore6ptAfter6pt">
    <w:name w:val="Style Garamond 10 pt Justified Before:  6 pt After:  6 pt"/>
    <w:basedOn w:val="a2"/>
    <w:link w:val="StyleGaramond10ptJustifiedBefore6ptAfter6pt0"/>
    <w:rsid w:val="00A5269A"/>
    <w:pPr>
      <w:spacing w:before="120"/>
      <w:jc w:val="both"/>
    </w:pPr>
    <w:rPr>
      <w:rFonts w:ascii="Garamond" w:hAnsi="Garamond" w:cs="Times"/>
      <w:lang w:eastAsia="ru-RU"/>
    </w:rPr>
  </w:style>
  <w:style w:type="character" w:customStyle="1" w:styleId="StyleGaramond10ptJustifiedBefore6ptAfter6pt0">
    <w:name w:val="Style Garamond 10 pt Justified Before:  6 pt After:  6 pt Знак"/>
    <w:link w:val="StyleGaramond10ptJustifiedBefore6ptAfter6pt"/>
    <w:rsid w:val="00A5269A"/>
    <w:rPr>
      <w:rFonts w:ascii="Garamond" w:eastAsia="Times New Roman" w:hAnsi="Garamond" w:cs="Times"/>
      <w:sz w:val="24"/>
      <w:szCs w:val="24"/>
      <w:lang w:eastAsia="ru-RU"/>
    </w:rPr>
  </w:style>
  <w:style w:type="paragraph" w:customStyle="1" w:styleId="note2">
    <w:name w:val="note 2"/>
    <w:basedOn w:val="a2"/>
    <w:qFormat/>
    <w:rsid w:val="00A5269A"/>
    <w:pPr>
      <w:overflowPunct w:val="0"/>
      <w:autoSpaceDE w:val="0"/>
      <w:autoSpaceDN w:val="0"/>
      <w:adjustRightInd w:val="0"/>
      <w:spacing w:before="120"/>
      <w:jc w:val="both"/>
      <w:textAlignment w:val="baseline"/>
    </w:pPr>
    <w:rPr>
      <w:rFonts w:ascii="Garamond" w:hAnsi="Garamond"/>
      <w:sz w:val="20"/>
      <w:szCs w:val="20"/>
    </w:rPr>
  </w:style>
  <w:style w:type="character" w:customStyle="1" w:styleId="Heading1Char1">
    <w:name w:val="Heading 1 Char1"/>
    <w:rsid w:val="00A5269A"/>
    <w:rPr>
      <w:rFonts w:ascii="Arial" w:hAnsi="Arial"/>
      <w:b/>
      <w:kern w:val="28"/>
      <w:lang w:val="en-GB" w:eastAsia="en-US" w:bidi="ar-SA"/>
    </w:rPr>
  </w:style>
  <w:style w:type="character" w:customStyle="1" w:styleId="tw4winInternal">
    <w:name w:val="tw4winInternal"/>
    <w:uiPriority w:val="99"/>
    <w:rsid w:val="00A5269A"/>
    <w:rPr>
      <w:rFonts w:ascii="Courier New" w:hAnsi="Courier New" w:cs="Courier New"/>
      <w:noProof/>
    </w:rPr>
  </w:style>
  <w:style w:type="paragraph" w:customStyle="1" w:styleId="StyleContinuedUnivers45Light">
    <w:name w:val="Style Continued + Univers 45 Light"/>
    <w:basedOn w:val="a2"/>
    <w:rsid w:val="00A5269A"/>
    <w:pPr>
      <w:keepNext/>
      <w:keepLines/>
      <w:pageBreakBefore/>
      <w:tabs>
        <w:tab w:val="left" w:pos="567"/>
      </w:tabs>
      <w:spacing w:after="240"/>
      <w:ind w:left="562" w:hanging="562"/>
    </w:pPr>
    <w:rPr>
      <w:rFonts w:ascii="Univers 45 Light" w:eastAsia="Calibri" w:hAnsi="Univers 45 Light"/>
      <w:b/>
      <w:bCs/>
      <w:sz w:val="20"/>
      <w:szCs w:val="20"/>
      <w:lang w:val="en-GB"/>
    </w:rPr>
  </w:style>
  <w:style w:type="character" w:customStyle="1" w:styleId="rvts225538">
    <w:name w:val="rvts2_25538"/>
    <w:basedOn w:val="a3"/>
    <w:rsid w:val="00A5269A"/>
  </w:style>
  <w:style w:type="paragraph" w:customStyle="1" w:styleId="afffd">
    <w:name w:val="Знак Знак Знак Знак Знак Знак"/>
    <w:basedOn w:val="a2"/>
    <w:autoRedefine/>
    <w:rsid w:val="00A5269A"/>
    <w:pPr>
      <w:spacing w:after="160" w:line="240" w:lineRule="exact"/>
      <w:ind w:right="-23"/>
    </w:pPr>
    <w:rPr>
      <w:rFonts w:eastAsia="SimSun"/>
      <w:b/>
      <w:sz w:val="28"/>
      <w:lang w:val="en-US"/>
    </w:rPr>
  </w:style>
  <w:style w:type="character" w:customStyle="1" w:styleId="900Hyperlink">
    <w:name w:val="900 Hyperlink"/>
    <w:rsid w:val="00A5269A"/>
    <w:rPr>
      <w:color w:val="008000"/>
    </w:rPr>
  </w:style>
  <w:style w:type="paragraph" w:customStyle="1" w:styleId="2a">
    <w:name w:val="Обычный2"/>
    <w:basedOn w:val="a2"/>
    <w:rsid w:val="00A5269A"/>
    <w:pPr>
      <w:overflowPunct w:val="0"/>
      <w:autoSpaceDE w:val="0"/>
      <w:autoSpaceDN w:val="0"/>
      <w:adjustRightInd w:val="0"/>
      <w:ind w:right="567"/>
      <w:jc w:val="both"/>
      <w:textAlignment w:val="baseline"/>
      <w:outlineLvl w:val="0"/>
    </w:pPr>
    <w:rPr>
      <w:i/>
      <w:iCs/>
      <w:color w:val="000000"/>
      <w:lang w:val="en-GB"/>
    </w:rPr>
  </w:style>
  <w:style w:type="paragraph" w:customStyle="1" w:styleId="SingleSpacing">
    <w:name w:val="Single Spacing"/>
    <w:aliases w:val="ss,Single spacing,single spacing,s"/>
    <w:basedOn w:val="a2"/>
    <w:rsid w:val="00A5269A"/>
    <w:pPr>
      <w:overflowPunct w:val="0"/>
      <w:autoSpaceDE w:val="0"/>
      <w:autoSpaceDN w:val="0"/>
      <w:adjustRightInd w:val="0"/>
      <w:spacing w:line="280" w:lineRule="atLeast"/>
      <w:ind w:right="-23"/>
      <w:jc w:val="both"/>
      <w:textAlignment w:val="baseline"/>
    </w:pPr>
    <w:rPr>
      <w:rFonts w:ascii="Times" w:hAnsi="Times" w:cs="Times"/>
      <w:lang w:val="en-GB"/>
    </w:rPr>
  </w:style>
  <w:style w:type="paragraph" w:customStyle="1" w:styleId="HEADING">
    <w:name w:val="HEADING"/>
    <w:basedOn w:val="10"/>
    <w:rsid w:val="00A5269A"/>
    <w:pPr>
      <w:keepLines w:val="0"/>
      <w:pageBreakBefore/>
      <w:pBdr>
        <w:bottom w:val="none" w:sz="0" w:space="0" w:color="auto"/>
      </w:pBdr>
      <w:spacing w:before="360" w:after="240"/>
      <w:jc w:val="both"/>
    </w:pPr>
    <w:rPr>
      <w:rFonts w:ascii="Arial" w:eastAsia="Times New Roman" w:hAnsi="Arial" w:cs="Arial"/>
      <w:b/>
      <w:bCs/>
      <w:color w:val="000000"/>
      <w:kern w:val="32"/>
      <w:sz w:val="20"/>
      <w:szCs w:val="20"/>
      <w:lang w:val="en-GB"/>
    </w:rPr>
  </w:style>
  <w:style w:type="paragraph" w:customStyle="1" w:styleId="000Normal1">
    <w:name w:val="000 Normal Знак Знак"/>
    <w:basedOn w:val="a2"/>
    <w:link w:val="000Normal2"/>
    <w:rsid w:val="00A5269A"/>
    <w:pPr>
      <w:overflowPunct w:val="0"/>
      <w:autoSpaceDE w:val="0"/>
      <w:autoSpaceDN w:val="0"/>
      <w:adjustRightInd w:val="0"/>
      <w:spacing w:before="60" w:after="40" w:line="220" w:lineRule="exact"/>
      <w:ind w:right="-23"/>
      <w:jc w:val="both"/>
      <w:textAlignment w:val="baseline"/>
    </w:pPr>
    <w:rPr>
      <w:rFonts w:ascii="Garamond" w:hAnsi="Garamond"/>
      <w:lang w:val="en-GB"/>
    </w:rPr>
  </w:style>
  <w:style w:type="character" w:customStyle="1" w:styleId="000Normal2">
    <w:name w:val="000 Normal Знак Знак Знак"/>
    <w:link w:val="000Normal1"/>
    <w:rsid w:val="00A5269A"/>
    <w:rPr>
      <w:rFonts w:ascii="Garamond" w:eastAsia="Times New Roman" w:hAnsi="Garamond" w:cs="Times New Roman"/>
      <w:sz w:val="24"/>
      <w:szCs w:val="24"/>
      <w:lang w:val="en-GB"/>
    </w:rPr>
  </w:style>
  <w:style w:type="paragraph" w:customStyle="1" w:styleId="460HeaderOdd2">
    <w:name w:val="460 Header Odd 2"/>
    <w:basedOn w:val="000Normal1"/>
    <w:rsid w:val="00A5269A"/>
    <w:pPr>
      <w:spacing w:before="140" w:after="0" w:line="240" w:lineRule="auto"/>
      <w:jc w:val="left"/>
    </w:pPr>
    <w:rPr>
      <w:b/>
      <w:caps/>
      <w:sz w:val="28"/>
    </w:rPr>
  </w:style>
  <w:style w:type="paragraph" w:customStyle="1" w:styleId="451HeaderEven">
    <w:name w:val="451 Header Even"/>
    <w:basedOn w:val="450HeaderOdd"/>
    <w:rsid w:val="00A5269A"/>
    <w:pPr>
      <w:ind w:right="-23"/>
    </w:pPr>
    <w:rPr>
      <w:sz w:val="24"/>
      <w:szCs w:val="24"/>
    </w:rPr>
  </w:style>
  <w:style w:type="paragraph" w:customStyle="1" w:styleId="202Tableleftindent2">
    <w:name w:val="202 Table left indent 2"/>
    <w:basedOn w:val="201Tableleftindent1"/>
    <w:rsid w:val="00A5269A"/>
    <w:pPr>
      <w:ind w:left="340" w:right="-23"/>
    </w:pPr>
    <w:rPr>
      <w:rFonts w:eastAsia="Times New Roman"/>
      <w:sz w:val="24"/>
      <w:szCs w:val="24"/>
    </w:rPr>
  </w:style>
  <w:style w:type="paragraph" w:customStyle="1" w:styleId="010Subheading1">
    <w:name w:val="010 Subheading 1"/>
    <w:basedOn w:val="000Normal1"/>
    <w:rsid w:val="00A5269A"/>
    <w:pPr>
      <w:tabs>
        <w:tab w:val="num" w:pos="810"/>
      </w:tabs>
      <w:spacing w:before="0"/>
      <w:ind w:left="810" w:hanging="450"/>
    </w:pPr>
  </w:style>
  <w:style w:type="paragraph" w:customStyle="1" w:styleId="SingleSpacingssSinglespacing">
    <w:name w:val="Single Spacing.ss.Single spacing"/>
    <w:basedOn w:val="a2"/>
    <w:rsid w:val="00A5269A"/>
    <w:pPr>
      <w:widowControl w:val="0"/>
      <w:overflowPunct w:val="0"/>
      <w:autoSpaceDE w:val="0"/>
      <w:autoSpaceDN w:val="0"/>
      <w:adjustRightInd w:val="0"/>
      <w:spacing w:line="280" w:lineRule="atLeast"/>
      <w:ind w:right="-23"/>
      <w:jc w:val="both"/>
      <w:textAlignment w:val="baseline"/>
    </w:pPr>
    <w:rPr>
      <w:rFonts w:ascii="Times" w:hAnsi="Times" w:cs="Times"/>
      <w:lang w:val="en-GB"/>
    </w:rPr>
  </w:style>
  <w:style w:type="character" w:styleId="afffe">
    <w:name w:val="FollowedHyperlink"/>
    <w:rsid w:val="00A5269A"/>
    <w:rPr>
      <w:color w:val="800080"/>
      <w:u w:val="single"/>
    </w:rPr>
  </w:style>
  <w:style w:type="paragraph" w:customStyle="1" w:styleId="AANumbering">
    <w:name w:val="AA Numbering"/>
    <w:basedOn w:val="a2"/>
    <w:rsid w:val="00A5269A"/>
    <w:pPr>
      <w:tabs>
        <w:tab w:val="left" w:pos="284"/>
      </w:tabs>
      <w:spacing w:line="240" w:lineRule="atLeast"/>
      <w:ind w:right="-23"/>
    </w:pPr>
    <w:rPr>
      <w:rFonts w:ascii="Arial" w:hAnsi="Arial"/>
      <w:sz w:val="18"/>
      <w:szCs w:val="20"/>
      <w:lang w:val="en-GB"/>
    </w:rPr>
  </w:style>
  <w:style w:type="paragraph" w:customStyle="1" w:styleId="ABLOCKPARA">
    <w:name w:val="A BLOCK PARA"/>
    <w:basedOn w:val="a2"/>
    <w:rsid w:val="00A5269A"/>
    <w:pPr>
      <w:ind w:right="-23"/>
    </w:pPr>
    <w:rPr>
      <w:rFonts w:ascii="Book Antiqua" w:hAnsi="Book Antiqua"/>
      <w:sz w:val="22"/>
      <w:szCs w:val="20"/>
      <w:lang w:val="en-GB"/>
    </w:rPr>
  </w:style>
  <w:style w:type="paragraph" w:customStyle="1" w:styleId="BodySingle">
    <w:name w:val="Body Single"/>
    <w:basedOn w:val="afb"/>
    <w:rsid w:val="00A5269A"/>
    <w:pPr>
      <w:widowControl/>
      <w:numPr>
        <w:numId w:val="17"/>
      </w:numPr>
      <w:tabs>
        <w:tab w:val="clear" w:pos="926"/>
      </w:tabs>
      <w:spacing w:line="290" w:lineRule="atLeast"/>
      <w:ind w:left="0" w:right="-23" w:firstLine="0"/>
      <w:jc w:val="left"/>
    </w:pPr>
    <w:rPr>
      <w:snapToGrid/>
      <w:lang w:val="en-GB" w:eastAsia="en-US"/>
    </w:rPr>
  </w:style>
  <w:style w:type="paragraph" w:customStyle="1" w:styleId="titlepage">
    <w:name w:val="title page"/>
    <w:basedOn w:val="a2"/>
    <w:next w:val="a2"/>
    <w:rsid w:val="00A5269A"/>
    <w:pPr>
      <w:overflowPunct w:val="0"/>
      <w:autoSpaceDE w:val="0"/>
      <w:autoSpaceDN w:val="0"/>
      <w:adjustRightInd w:val="0"/>
      <w:spacing w:line="320" w:lineRule="atLeast"/>
      <w:ind w:right="-23"/>
      <w:jc w:val="center"/>
      <w:textAlignment w:val="baseline"/>
    </w:pPr>
    <w:rPr>
      <w:rFonts w:ascii="Times" w:hAnsi="Times"/>
      <w:sz w:val="28"/>
      <w:szCs w:val="20"/>
      <w:lang w:val="en-GB"/>
    </w:rPr>
  </w:style>
  <w:style w:type="paragraph" w:customStyle="1" w:styleId="221Tablejustifiedindent1">
    <w:name w:val="221 Table justified indent 1"/>
    <w:basedOn w:val="200Tableleft"/>
    <w:rsid w:val="00A5269A"/>
    <w:pPr>
      <w:ind w:left="170" w:right="-23" w:hanging="170"/>
      <w:jc w:val="both"/>
    </w:pPr>
    <w:rPr>
      <w:rFonts w:eastAsia="Times New Roman"/>
      <w:sz w:val="24"/>
      <w:szCs w:val="24"/>
    </w:rPr>
  </w:style>
  <w:style w:type="paragraph" w:styleId="3">
    <w:name w:val="List Number 3"/>
    <w:basedOn w:val="a2"/>
    <w:rsid w:val="00A5269A"/>
    <w:pPr>
      <w:numPr>
        <w:numId w:val="10"/>
      </w:numPr>
      <w:overflowPunct w:val="0"/>
      <w:autoSpaceDE w:val="0"/>
      <w:autoSpaceDN w:val="0"/>
      <w:adjustRightInd w:val="0"/>
      <w:spacing w:line="220" w:lineRule="exact"/>
      <w:ind w:right="-23"/>
      <w:textAlignment w:val="baseline"/>
    </w:pPr>
    <w:rPr>
      <w:rFonts w:ascii="Garamond" w:hAnsi="Garamond"/>
      <w:sz w:val="20"/>
      <w:szCs w:val="20"/>
      <w:lang w:val="en-GB"/>
    </w:rPr>
  </w:style>
  <w:style w:type="paragraph" w:styleId="52">
    <w:name w:val="List Bullet 5"/>
    <w:basedOn w:val="a2"/>
    <w:autoRedefine/>
    <w:rsid w:val="00A5269A"/>
    <w:pPr>
      <w:tabs>
        <w:tab w:val="num" w:pos="1492"/>
      </w:tabs>
      <w:overflowPunct w:val="0"/>
      <w:autoSpaceDE w:val="0"/>
      <w:autoSpaceDN w:val="0"/>
      <w:adjustRightInd w:val="0"/>
      <w:spacing w:line="220" w:lineRule="exact"/>
      <w:ind w:left="1492" w:right="-23" w:hanging="360"/>
      <w:textAlignment w:val="baseline"/>
    </w:pPr>
    <w:rPr>
      <w:rFonts w:ascii="Garamond" w:hAnsi="Garamond"/>
      <w:sz w:val="20"/>
      <w:szCs w:val="20"/>
      <w:lang w:val="en-GB"/>
    </w:rPr>
  </w:style>
  <w:style w:type="paragraph" w:customStyle="1" w:styleId="000standaarduitvullen">
    <w:name w:val="000.standaard uitvullen"/>
    <w:basedOn w:val="a2"/>
    <w:rsid w:val="00A5269A"/>
    <w:pPr>
      <w:overflowPunct w:val="0"/>
      <w:autoSpaceDE w:val="0"/>
      <w:autoSpaceDN w:val="0"/>
      <w:adjustRightInd w:val="0"/>
      <w:spacing w:line="280" w:lineRule="atLeast"/>
      <w:ind w:right="-23"/>
      <w:jc w:val="both"/>
      <w:textAlignment w:val="baseline"/>
    </w:pPr>
    <w:rPr>
      <w:rFonts w:ascii="Times" w:hAnsi="Times"/>
      <w:szCs w:val="20"/>
      <w:lang w:val="en-GB"/>
    </w:rPr>
  </w:style>
  <w:style w:type="paragraph" w:customStyle="1" w:styleId="ps-000-normal-indent-1">
    <w:name w:val="ps-000-normal-indent-1"/>
    <w:basedOn w:val="a2"/>
    <w:rsid w:val="00A5269A"/>
    <w:pPr>
      <w:spacing w:before="100" w:after="100"/>
      <w:ind w:left="640" w:right="-23"/>
    </w:pPr>
    <w:rPr>
      <w:rFonts w:ascii="Verdana" w:hAnsi="Verdana"/>
      <w:color w:val="000000"/>
      <w:sz w:val="20"/>
      <w:szCs w:val="20"/>
      <w:lang w:eastAsia="ru-RU"/>
    </w:rPr>
  </w:style>
  <w:style w:type="paragraph" w:customStyle="1" w:styleId="ps-004-normal-center">
    <w:name w:val="ps-004-normal-center"/>
    <w:basedOn w:val="a2"/>
    <w:rsid w:val="00A5269A"/>
    <w:pPr>
      <w:spacing w:before="100" w:after="100"/>
      <w:ind w:right="-23"/>
      <w:jc w:val="center"/>
    </w:pPr>
    <w:rPr>
      <w:rFonts w:ascii="Verdana" w:hAnsi="Verdana"/>
      <w:color w:val="000000"/>
      <w:sz w:val="20"/>
      <w:szCs w:val="20"/>
      <w:lang w:eastAsia="ru-RU"/>
    </w:rPr>
  </w:style>
  <w:style w:type="character" w:customStyle="1" w:styleId="cs-914-background-shading1">
    <w:name w:val="cs-914-background-shading1"/>
    <w:rsid w:val="00A5269A"/>
    <w:rPr>
      <w:shd w:val="clear" w:color="auto" w:fill="C0C0C0"/>
    </w:rPr>
  </w:style>
  <w:style w:type="paragraph" w:customStyle="1" w:styleId="body">
    <w:name w:val="body"/>
    <w:basedOn w:val="a2"/>
    <w:link w:val="bodyChar"/>
    <w:rsid w:val="00A5269A"/>
    <w:pPr>
      <w:numPr>
        <w:numId w:val="18"/>
      </w:numPr>
      <w:tabs>
        <w:tab w:val="clear" w:pos="425"/>
      </w:tabs>
      <w:overflowPunct w:val="0"/>
      <w:autoSpaceDE w:val="0"/>
      <w:autoSpaceDN w:val="0"/>
      <w:adjustRightInd w:val="0"/>
      <w:spacing w:after="120" w:line="240" w:lineRule="exact"/>
      <w:ind w:left="0" w:right="-23" w:firstLine="0"/>
      <w:textAlignment w:val="baseline"/>
    </w:pPr>
    <w:rPr>
      <w:color w:val="000000"/>
      <w:lang w:val="en-GB"/>
    </w:rPr>
  </w:style>
  <w:style w:type="character" w:customStyle="1" w:styleId="bodyChar">
    <w:name w:val="body Char"/>
    <w:link w:val="body"/>
    <w:rsid w:val="00A5269A"/>
    <w:rPr>
      <w:rFonts w:ascii="Times New Roman" w:eastAsia="Times New Roman" w:hAnsi="Times New Roman" w:cs="Times New Roman"/>
      <w:color w:val="000000"/>
      <w:sz w:val="24"/>
      <w:szCs w:val="24"/>
      <w:lang w:val="en-GB"/>
    </w:rPr>
  </w:style>
  <w:style w:type="paragraph" w:customStyle="1" w:styleId="font6">
    <w:name w:val="font6"/>
    <w:basedOn w:val="a2"/>
    <w:rsid w:val="00A5269A"/>
    <w:pPr>
      <w:spacing w:before="100" w:beforeAutospacing="1" w:after="100" w:afterAutospacing="1"/>
      <w:ind w:right="-23"/>
    </w:pPr>
    <w:rPr>
      <w:rFonts w:ascii="Tahoma" w:eastAsia="Arial Unicode MS" w:hAnsi="Tahoma" w:cs="Tahoma"/>
      <w:b/>
      <w:bCs/>
      <w:color w:val="000000"/>
      <w:sz w:val="16"/>
      <w:szCs w:val="16"/>
      <w:lang w:val="en-US"/>
    </w:rPr>
  </w:style>
  <w:style w:type="paragraph" w:customStyle="1" w:styleId="Indent3">
    <w:name w:val="Indent 3"/>
    <w:basedOn w:val="a2"/>
    <w:rsid w:val="00A5269A"/>
    <w:pPr>
      <w:numPr>
        <w:numId w:val="11"/>
      </w:numPr>
      <w:tabs>
        <w:tab w:val="left" w:pos="-1440"/>
        <w:tab w:val="num" w:pos="709"/>
      </w:tabs>
      <w:suppressAutoHyphens/>
      <w:overflowPunct w:val="0"/>
      <w:autoSpaceDE w:val="0"/>
      <w:autoSpaceDN w:val="0"/>
      <w:adjustRightInd w:val="0"/>
      <w:ind w:left="709" w:right="-23"/>
      <w:jc w:val="both"/>
      <w:textAlignment w:val="baseline"/>
    </w:pPr>
    <w:rPr>
      <w:sz w:val="20"/>
      <w:szCs w:val="20"/>
      <w:lang w:val="en-GB"/>
    </w:rPr>
  </w:style>
  <w:style w:type="paragraph" w:customStyle="1" w:styleId="StylebodyEYGothicCondDemi">
    <w:name w:val="Style body + EY Gothic Cond Demi"/>
    <w:basedOn w:val="body"/>
    <w:rsid w:val="00A5269A"/>
    <w:rPr>
      <w:rFonts w:ascii="EY Gothic Comp Book" w:hAnsi="EY Gothic Comp Book"/>
    </w:rPr>
  </w:style>
  <w:style w:type="paragraph" w:customStyle="1" w:styleId="SingleParaAlt">
    <w:name w:val="Single Para Alt"/>
    <w:aliases w:val="spa"/>
    <w:basedOn w:val="a2"/>
    <w:rsid w:val="00A5269A"/>
    <w:pPr>
      <w:autoSpaceDE w:val="0"/>
      <w:autoSpaceDN w:val="0"/>
      <w:adjustRightInd w:val="0"/>
      <w:spacing w:before="200" w:after="200"/>
      <w:ind w:right="-23" w:firstLine="720"/>
      <w:jc w:val="both"/>
    </w:pPr>
    <w:rPr>
      <w:rFonts w:eastAsia="SimSun"/>
      <w:sz w:val="20"/>
      <w:szCs w:val="18"/>
      <w:lang w:val="en-US" w:eastAsia="zh-CN" w:bidi="he-IL"/>
    </w:rPr>
  </w:style>
  <w:style w:type="character" w:customStyle="1" w:styleId="000NormalChar">
    <w:name w:val="000 Normal Char"/>
    <w:rsid w:val="00A5269A"/>
    <w:rPr>
      <w:rFonts w:ascii="Garamond" w:hAnsi="Garamond"/>
      <w:lang w:val="en-GB" w:eastAsia="en-US" w:bidi="ar-SA"/>
    </w:rPr>
  </w:style>
  <w:style w:type="paragraph" w:customStyle="1" w:styleId="affff">
    <w:name w:val="Знак Знак Знак Знак Знак Знак Знак Знак Знак Знак Знак"/>
    <w:basedOn w:val="a2"/>
    <w:autoRedefine/>
    <w:rsid w:val="00A5269A"/>
    <w:pPr>
      <w:spacing w:after="160" w:line="240" w:lineRule="exact"/>
      <w:ind w:right="-23"/>
    </w:pPr>
    <w:rPr>
      <w:rFonts w:eastAsia="SimSun"/>
      <w:b/>
      <w:sz w:val="28"/>
      <w:lang w:val="en-US"/>
    </w:rPr>
  </w:style>
  <w:style w:type="paragraph" w:customStyle="1" w:styleId="1f0">
    <w:name w:val="1_Часть"/>
    <w:basedOn w:val="5"/>
    <w:rsid w:val="00A5269A"/>
    <w:pPr>
      <w:keepNext/>
      <w:numPr>
        <w:numId w:val="0"/>
      </w:numPr>
      <w:overflowPunct/>
      <w:autoSpaceDE/>
      <w:autoSpaceDN/>
      <w:adjustRightInd/>
      <w:jc w:val="center"/>
      <w:textAlignment w:val="auto"/>
    </w:pPr>
    <w:rPr>
      <w:rFonts w:ascii="Times New Roman" w:hAnsi="Times New Roman"/>
      <w:i w:val="0"/>
      <w:sz w:val="24"/>
      <w:szCs w:val="20"/>
      <w:lang w:val="ru-RU" w:eastAsia="ru-RU"/>
    </w:rPr>
  </w:style>
  <w:style w:type="paragraph" w:customStyle="1" w:styleId="StyleStyle2Before6pt">
    <w:name w:val="Style Style2 + Before:  6 pt"/>
    <w:basedOn w:val="a2"/>
    <w:rsid w:val="00A5269A"/>
    <w:pPr>
      <w:overflowPunct w:val="0"/>
      <w:autoSpaceDE w:val="0"/>
      <w:autoSpaceDN w:val="0"/>
      <w:adjustRightInd w:val="0"/>
      <w:spacing w:before="240"/>
      <w:ind w:right="-23"/>
      <w:jc w:val="both"/>
      <w:textAlignment w:val="baseline"/>
      <w:outlineLvl w:val="1"/>
    </w:pPr>
    <w:rPr>
      <w:rFonts w:ascii="Palatino Linotype" w:hAnsi="Palatino Linotype"/>
      <w:b/>
      <w:bCs/>
      <w:sz w:val="18"/>
      <w:szCs w:val="20"/>
      <w:lang w:val="en-GB"/>
    </w:rPr>
  </w:style>
  <w:style w:type="paragraph" w:customStyle="1" w:styleId="Style000NormalItalicBefore6ptAfter0ptLinespacin">
    <w:name w:val="Style 000 Normal + Italic Before:  6 pt After:  0 pt Line spacin..."/>
    <w:basedOn w:val="000Normal"/>
    <w:rsid w:val="00A5269A"/>
    <w:pPr>
      <w:spacing w:before="240" w:after="0" w:line="240" w:lineRule="auto"/>
      <w:ind w:right="-23"/>
    </w:pPr>
    <w:rPr>
      <w:rFonts w:eastAsia="Times New Roman"/>
      <w:i/>
      <w:iCs/>
    </w:rPr>
  </w:style>
  <w:style w:type="paragraph" w:customStyle="1" w:styleId="StyleNormaltextGaramond10ptItalicRight-004cmBefo">
    <w:name w:val="Style Normal text + Garamond 10 pt Italic Right:  -0.04 cm Befo..."/>
    <w:basedOn w:val="Normaltext"/>
    <w:uiPriority w:val="99"/>
    <w:rsid w:val="00A5269A"/>
    <w:pPr>
      <w:spacing w:before="240" w:line="240" w:lineRule="auto"/>
      <w:ind w:right="-23"/>
    </w:pPr>
    <w:rPr>
      <w:rFonts w:ascii="Garamond" w:hAnsi="Garamond"/>
      <w:i/>
      <w:iCs/>
      <w:sz w:val="20"/>
      <w:szCs w:val="20"/>
    </w:rPr>
  </w:style>
  <w:style w:type="paragraph" w:customStyle="1" w:styleId="Heading1N">
    <w:name w:val="Heading 1 N"/>
    <w:basedOn w:val="30"/>
    <w:rsid w:val="00A5269A"/>
    <w:pPr>
      <w:keepNext w:val="0"/>
      <w:keepLines w:val="0"/>
      <w:tabs>
        <w:tab w:val="clear" w:pos="2483"/>
        <w:tab w:val="clear" w:pos="4154"/>
        <w:tab w:val="clear" w:pos="5963"/>
        <w:tab w:val="clear" w:pos="7495"/>
        <w:tab w:val="clear" w:pos="9192"/>
        <w:tab w:val="num" w:pos="747"/>
      </w:tabs>
      <w:overflowPunct w:val="0"/>
      <w:autoSpaceDE w:val="0"/>
      <w:autoSpaceDN w:val="0"/>
      <w:adjustRightInd w:val="0"/>
      <w:spacing w:before="240"/>
      <w:ind w:left="747" w:right="-23" w:hanging="567"/>
      <w:jc w:val="both"/>
      <w:textAlignment w:val="baseline"/>
    </w:pPr>
    <w:rPr>
      <w:rFonts w:ascii="Palatino Linotype" w:hAnsi="Palatino Linotype" w:cs="Times"/>
      <w:sz w:val="22"/>
      <w:szCs w:val="22"/>
    </w:rPr>
  </w:style>
  <w:style w:type="paragraph" w:customStyle="1" w:styleId="StyleNormaltextGaramond10ptRight-004cmBefore6p">
    <w:name w:val="Style Normal text + Garamond 10 pt Right:  -004 cm Before:  6 p..."/>
    <w:basedOn w:val="Normaltext"/>
    <w:rsid w:val="00A5269A"/>
    <w:pPr>
      <w:spacing w:before="120" w:line="240" w:lineRule="auto"/>
      <w:ind w:right="-23"/>
    </w:pPr>
    <w:rPr>
      <w:rFonts w:ascii="Garamond" w:hAnsi="Garamond"/>
      <w:sz w:val="20"/>
      <w:szCs w:val="20"/>
    </w:rPr>
  </w:style>
  <w:style w:type="paragraph" w:customStyle="1" w:styleId="xl26">
    <w:name w:val="xl26"/>
    <w:basedOn w:val="a2"/>
    <w:rsid w:val="00A5269A"/>
    <w:pPr>
      <w:spacing w:before="100" w:beforeAutospacing="1" w:after="100" w:afterAutospacing="1"/>
      <w:ind w:right="-23"/>
      <w:textAlignment w:val="top"/>
    </w:pPr>
    <w:rPr>
      <w:rFonts w:ascii="Garamond" w:eastAsia="Arial Unicode MS" w:hAnsi="Garamond" w:cs="Arial Unicode MS"/>
      <w:b/>
      <w:bCs/>
      <w:sz w:val="20"/>
      <w:szCs w:val="20"/>
      <w:lang w:val="en-US"/>
    </w:rPr>
  </w:style>
  <w:style w:type="paragraph" w:customStyle="1" w:styleId="StyleGaramond10ptBefore12pt">
    <w:name w:val="Style Garamond 10 pt Before:  12 pt"/>
    <w:basedOn w:val="a2"/>
    <w:rsid w:val="00A5269A"/>
    <w:pPr>
      <w:widowControl w:val="0"/>
      <w:autoSpaceDE w:val="0"/>
      <w:autoSpaceDN w:val="0"/>
      <w:adjustRightInd w:val="0"/>
      <w:spacing w:before="240"/>
      <w:ind w:right="-23"/>
    </w:pPr>
    <w:rPr>
      <w:rFonts w:ascii="Garamond" w:hAnsi="Garamond"/>
      <w:i/>
      <w:color w:val="000000"/>
      <w:sz w:val="20"/>
      <w:szCs w:val="20"/>
      <w:lang w:val="en-GB" w:eastAsia="ru-RU"/>
    </w:rPr>
  </w:style>
  <w:style w:type="paragraph" w:customStyle="1" w:styleId="StyleJustifiedRight-01cm">
    <w:name w:val="Style Justified Right:  -0.1 cm"/>
    <w:basedOn w:val="a2"/>
    <w:link w:val="StyleJustifiedRight-01cmChar"/>
    <w:rsid w:val="00A5269A"/>
    <w:pPr>
      <w:widowControl w:val="0"/>
      <w:autoSpaceDE w:val="0"/>
      <w:autoSpaceDN w:val="0"/>
      <w:adjustRightInd w:val="0"/>
      <w:spacing w:before="120"/>
      <w:ind w:right="-57"/>
      <w:jc w:val="both"/>
    </w:pPr>
    <w:rPr>
      <w:rFonts w:ascii="Garamond" w:hAnsi="Garamond"/>
      <w:color w:val="000000"/>
      <w:sz w:val="20"/>
      <w:szCs w:val="20"/>
      <w:lang w:val="en-GB" w:eastAsia="ru-RU"/>
    </w:rPr>
  </w:style>
  <w:style w:type="character" w:customStyle="1" w:styleId="StyleJustifiedRight-01cmChar">
    <w:name w:val="Style Justified Right:  -0.1 cm Char"/>
    <w:link w:val="StyleJustifiedRight-01cm"/>
    <w:rsid w:val="00A5269A"/>
    <w:rPr>
      <w:rFonts w:ascii="Garamond" w:eastAsia="Times New Roman" w:hAnsi="Garamond" w:cs="Times New Roman"/>
      <w:color w:val="000000"/>
      <w:sz w:val="20"/>
      <w:szCs w:val="20"/>
      <w:lang w:val="en-GB" w:eastAsia="ru-RU"/>
    </w:rPr>
  </w:style>
  <w:style w:type="paragraph" w:customStyle="1" w:styleId="100FreeStyle12pt">
    <w:name w:val="100 Free Style + 12 pt"/>
    <w:aliases w:val="After:  0 pt"/>
    <w:basedOn w:val="200Tableleft"/>
    <w:rsid w:val="00A5269A"/>
    <w:pPr>
      <w:spacing w:before="0" w:line="240" w:lineRule="auto"/>
      <w:ind w:right="121"/>
    </w:pPr>
    <w:rPr>
      <w:rFonts w:eastAsia="Times New Roman"/>
      <w:b/>
      <w:color w:val="000000"/>
      <w:sz w:val="28"/>
      <w:szCs w:val="24"/>
      <w:lang w:val="ru-RU"/>
    </w:rPr>
  </w:style>
  <w:style w:type="paragraph" w:customStyle="1" w:styleId="StyleGaramond10ptBoldJustifiedRight022cmBefore6">
    <w:name w:val="Style Garamond 10 pt Bold Justified Right:  022 cm Before:  6..."/>
    <w:basedOn w:val="a2"/>
    <w:link w:val="StyleGaramond10ptBoldJustifiedRight022cmBefore6Char"/>
    <w:rsid w:val="00A5269A"/>
    <w:pPr>
      <w:spacing w:before="120" w:after="120"/>
      <w:ind w:right="125"/>
      <w:jc w:val="both"/>
    </w:pPr>
    <w:rPr>
      <w:rFonts w:ascii="Palatino Linotype" w:hAnsi="Palatino Linotype"/>
      <w:b/>
      <w:bCs/>
      <w:sz w:val="20"/>
      <w:szCs w:val="20"/>
      <w:lang w:eastAsia="ru-RU"/>
    </w:rPr>
  </w:style>
  <w:style w:type="character" w:customStyle="1" w:styleId="StyleGaramond10ptBoldJustifiedRight022cmBefore6Char">
    <w:name w:val="Style Garamond 10 pt Bold Justified Right:  022 cm Before:  6... Char"/>
    <w:link w:val="StyleGaramond10ptBoldJustifiedRight022cmBefore6"/>
    <w:rsid w:val="00A5269A"/>
    <w:rPr>
      <w:rFonts w:ascii="Palatino Linotype" w:eastAsia="Times New Roman" w:hAnsi="Palatino Linotype" w:cs="Times New Roman"/>
      <w:b/>
      <w:bCs/>
      <w:sz w:val="20"/>
      <w:szCs w:val="20"/>
      <w:lang w:eastAsia="ru-RU"/>
    </w:rPr>
  </w:style>
  <w:style w:type="character" w:customStyle="1" w:styleId="StyleStyleGaramond10ptBoldJustifiedRight022cmBefore6Char">
    <w:name w:val="Style Style Garamond 10 pt Bold Justified Right:  022 cm Before:  6... Char"/>
    <w:rsid w:val="00A5269A"/>
    <w:rPr>
      <w:rFonts w:ascii="Palatino Linotype" w:hAnsi="Palatino Linotype"/>
      <w:b/>
      <w:bCs/>
      <w:sz w:val="18"/>
      <w:lang w:val="ru-RU" w:eastAsia="ru-RU" w:bidi="ar-SA"/>
    </w:rPr>
  </w:style>
  <w:style w:type="character" w:customStyle="1" w:styleId="StyleBodyTextGaramond10ptRight017cmChar">
    <w:name w:val="Style Body Text + Garamond 10 pt Right:  017 cm Char"/>
    <w:rsid w:val="00A5269A"/>
    <w:rPr>
      <w:rFonts w:ascii="Garamond" w:hAnsi="Garamond"/>
      <w:lang w:val="ru-RU" w:eastAsia="ru-RU" w:bidi="ar-SA"/>
    </w:rPr>
  </w:style>
  <w:style w:type="character" w:customStyle="1" w:styleId="StyleNormaltextGaramond10ptItalicRight017cmChar">
    <w:name w:val="Style Normal text + Garamond 10 pt Italic Right:  017 cm Char"/>
    <w:rsid w:val="00A5269A"/>
    <w:rPr>
      <w:rFonts w:ascii="Garamond" w:hAnsi="Garamond"/>
      <w:i/>
      <w:iCs/>
      <w:sz w:val="24"/>
      <w:szCs w:val="24"/>
      <w:lang w:val="en-GB" w:eastAsia="en-US" w:bidi="ar-SA"/>
    </w:rPr>
  </w:style>
  <w:style w:type="paragraph" w:customStyle="1" w:styleId="StyleGaramond10ptBefore6pt">
    <w:name w:val="Style Garamond 10 pt Before:  6 pt"/>
    <w:basedOn w:val="a2"/>
    <w:link w:val="StyleGaramond10ptBefore6ptChar"/>
    <w:rsid w:val="00A5269A"/>
    <w:pPr>
      <w:overflowPunct w:val="0"/>
      <w:autoSpaceDE w:val="0"/>
      <w:autoSpaceDN w:val="0"/>
      <w:adjustRightInd w:val="0"/>
      <w:spacing w:before="120"/>
      <w:ind w:right="-23"/>
      <w:jc w:val="both"/>
      <w:textAlignment w:val="baseline"/>
    </w:pPr>
    <w:rPr>
      <w:rFonts w:ascii="Garamond" w:hAnsi="Garamond"/>
      <w:sz w:val="20"/>
      <w:szCs w:val="20"/>
      <w:lang w:val="en-US"/>
    </w:rPr>
  </w:style>
  <w:style w:type="character" w:customStyle="1" w:styleId="StyleGaramond10ptBefore6ptChar">
    <w:name w:val="Style Garamond 10 pt Before:  6 pt Char"/>
    <w:link w:val="StyleGaramond10ptBefore6pt"/>
    <w:rsid w:val="00A5269A"/>
    <w:rPr>
      <w:rFonts w:ascii="Garamond" w:eastAsia="Times New Roman" w:hAnsi="Garamond" w:cs="Times New Roman"/>
      <w:sz w:val="20"/>
      <w:szCs w:val="20"/>
      <w:lang w:val="en-US"/>
    </w:rPr>
  </w:style>
  <w:style w:type="character" w:customStyle="1" w:styleId="StyleGaramond10ptJustifiedBefore6ptAfter6ptChar">
    <w:name w:val="Style Garamond 10 pt Justified Before:  6 pt After:  6 pt Char"/>
    <w:rsid w:val="00A5269A"/>
    <w:rPr>
      <w:rFonts w:ascii="Garamond" w:hAnsi="Garamond"/>
      <w:lang w:val="ru-RU" w:eastAsia="ru-RU" w:bidi="ar-SA"/>
    </w:rPr>
  </w:style>
  <w:style w:type="paragraph" w:customStyle="1" w:styleId="StyleStyleheadingDinaGaramond10pt">
    <w:name w:val="Style Style heading Dina + Garamond + 10 pt"/>
    <w:basedOn w:val="a2"/>
    <w:link w:val="StyleStyleheadingDinaGaramond10ptChar1"/>
    <w:rsid w:val="00A5269A"/>
    <w:pPr>
      <w:keepNext/>
      <w:tabs>
        <w:tab w:val="right" w:pos="9214"/>
      </w:tabs>
      <w:overflowPunct w:val="0"/>
      <w:autoSpaceDE w:val="0"/>
      <w:autoSpaceDN w:val="0"/>
      <w:adjustRightInd w:val="0"/>
      <w:spacing w:before="240"/>
      <w:ind w:right="-23"/>
      <w:jc w:val="both"/>
      <w:textAlignment w:val="baseline"/>
      <w:outlineLvl w:val="3"/>
    </w:pPr>
    <w:rPr>
      <w:rFonts w:ascii="Palatino Linotype" w:hAnsi="Palatino Linotype" w:cs="Palatino Linotype"/>
      <w:b/>
      <w:bCs/>
      <w:sz w:val="18"/>
      <w:szCs w:val="18"/>
    </w:rPr>
  </w:style>
  <w:style w:type="character" w:customStyle="1" w:styleId="StyleStyleheadingDinaGaramond10ptChar1">
    <w:name w:val="Style Style heading Dina + Garamond + 10 pt Char1"/>
    <w:link w:val="StyleStyleheadingDinaGaramond10pt"/>
    <w:rsid w:val="00A5269A"/>
    <w:rPr>
      <w:rFonts w:ascii="Palatino Linotype" w:eastAsia="Times New Roman" w:hAnsi="Palatino Linotype" w:cs="Palatino Linotype"/>
      <w:b/>
      <w:bCs/>
      <w:sz w:val="18"/>
      <w:szCs w:val="18"/>
    </w:rPr>
  </w:style>
  <w:style w:type="paragraph" w:customStyle="1" w:styleId="StyleBodyTextDinaBDAfter0pt">
    <w:name w:val="Style Body TextDina BD + After:  0 pt"/>
    <w:basedOn w:val="afb"/>
    <w:rsid w:val="00A5269A"/>
    <w:pPr>
      <w:widowControl/>
      <w:overflowPunct w:val="0"/>
      <w:autoSpaceDE w:val="0"/>
      <w:autoSpaceDN w:val="0"/>
      <w:adjustRightInd w:val="0"/>
      <w:spacing w:before="120"/>
      <w:ind w:right="-23"/>
      <w:textAlignment w:val="baseline"/>
    </w:pPr>
    <w:rPr>
      <w:rFonts w:ascii="Garamond" w:hAnsi="Garamond"/>
      <w:snapToGrid/>
      <w:sz w:val="20"/>
      <w:lang w:val="en-GB" w:eastAsia="en-US"/>
    </w:rPr>
  </w:style>
  <w:style w:type="character" w:customStyle="1" w:styleId="NotesbulletpointChar">
    <w:name w:val="Notes bullet point Char"/>
    <w:link w:val="Notesbulletpoint"/>
    <w:locked/>
    <w:rsid w:val="00A5269A"/>
    <w:rPr>
      <w:rFonts w:ascii="EYInterstate Light" w:hAnsi="EYInterstate Light"/>
      <w:sz w:val="18"/>
      <w:lang w:val="en-GB"/>
    </w:rPr>
  </w:style>
  <w:style w:type="paragraph" w:customStyle="1" w:styleId="Notesbulletpoint">
    <w:name w:val="Notes bullet point"/>
    <w:link w:val="NotesbulletpointChar"/>
    <w:rsid w:val="00A5269A"/>
    <w:pPr>
      <w:tabs>
        <w:tab w:val="num" w:pos="461"/>
      </w:tabs>
      <w:spacing w:after="120" w:line="240" w:lineRule="auto"/>
      <w:ind w:left="459" w:right="-23"/>
    </w:pPr>
    <w:rPr>
      <w:rFonts w:ascii="EYInterstate Light" w:hAnsi="EYInterstate Light"/>
      <w:sz w:val="18"/>
      <w:lang w:val="en-GB"/>
    </w:rPr>
  </w:style>
  <w:style w:type="paragraph" w:customStyle="1" w:styleId="tablebullet">
    <w:name w:val="table bullet"/>
    <w:basedOn w:val="a2"/>
    <w:rsid w:val="00A5269A"/>
    <w:pPr>
      <w:tabs>
        <w:tab w:val="num" w:pos="1088"/>
      </w:tabs>
      <w:overflowPunct w:val="0"/>
      <w:autoSpaceDE w:val="0"/>
      <w:autoSpaceDN w:val="0"/>
      <w:adjustRightInd w:val="0"/>
      <w:spacing w:line="220" w:lineRule="exact"/>
      <w:ind w:left="1088" w:right="-23" w:hanging="425"/>
    </w:pPr>
    <w:rPr>
      <w:rFonts w:ascii="EYInterstate Light" w:hAnsi="EYInterstate Light"/>
      <w:sz w:val="18"/>
      <w:szCs w:val="20"/>
      <w:lang w:val="en-GB"/>
    </w:rPr>
  </w:style>
  <w:style w:type="paragraph" w:customStyle="1" w:styleId="Notesitalicheading">
    <w:name w:val="Notes italic heading"/>
    <w:basedOn w:val="Notesbodytext"/>
    <w:link w:val="NotesitalicheadingChar"/>
    <w:rsid w:val="00A5269A"/>
    <w:pPr>
      <w:spacing w:after="0"/>
      <w:ind w:right="-23"/>
    </w:pPr>
    <w:rPr>
      <w:b/>
      <w:i/>
    </w:rPr>
  </w:style>
  <w:style w:type="character" w:customStyle="1" w:styleId="NotesitalicheadingChar">
    <w:name w:val="Notes italic heading Char"/>
    <w:link w:val="Notesitalicheading"/>
    <w:locked/>
    <w:rsid w:val="00A5269A"/>
    <w:rPr>
      <w:rFonts w:ascii="EYInterstate Light" w:hAnsi="EYInterstate Light" w:cs="Arial"/>
      <w:b/>
      <w:i/>
      <w:color w:val="000000"/>
      <w:sz w:val="18"/>
    </w:rPr>
  </w:style>
  <w:style w:type="character" w:customStyle="1" w:styleId="tabletextChar">
    <w:name w:val="table text Char"/>
    <w:link w:val="tabletext2"/>
    <w:rsid w:val="00A5269A"/>
    <w:rPr>
      <w:rFonts w:ascii="EYInterstate Light" w:hAnsi="EYInterstate Light"/>
      <w:sz w:val="18"/>
      <w:lang w:val="en-GB"/>
    </w:rPr>
  </w:style>
  <w:style w:type="paragraph" w:customStyle="1" w:styleId="tabletext2">
    <w:name w:val="table text"/>
    <w:link w:val="tabletextChar"/>
    <w:rsid w:val="00A5269A"/>
    <w:pPr>
      <w:spacing w:line="220" w:lineRule="exact"/>
      <w:ind w:right="-23"/>
    </w:pPr>
    <w:rPr>
      <w:rFonts w:ascii="EYInterstate Light" w:hAnsi="EYInterstate Light"/>
      <w:sz w:val="18"/>
      <w:lang w:val="en-GB"/>
    </w:rPr>
  </w:style>
  <w:style w:type="paragraph" w:customStyle="1" w:styleId="Tablecolumnheading">
    <w:name w:val="Table column heading"/>
    <w:next w:val="tabletext2"/>
    <w:rsid w:val="00A5269A"/>
    <w:pPr>
      <w:overflowPunct w:val="0"/>
      <w:autoSpaceDE w:val="0"/>
      <w:autoSpaceDN w:val="0"/>
      <w:adjustRightInd w:val="0"/>
      <w:spacing w:line="220" w:lineRule="exact"/>
      <w:ind w:right="-23"/>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2"/>
    <w:link w:val="IAStextChar"/>
    <w:rsid w:val="00A5269A"/>
    <w:pPr>
      <w:spacing w:line="180" w:lineRule="exact"/>
      <w:ind w:right="-23"/>
    </w:pPr>
    <w:rPr>
      <w:rFonts w:ascii="EYInterstate Light" w:eastAsia="Times New Roman" w:hAnsi="EYInterstate Light" w:cs="Times New Roman"/>
      <w:i/>
      <w:sz w:val="13"/>
      <w:szCs w:val="20"/>
      <w:lang w:val="en-GB"/>
    </w:rPr>
  </w:style>
  <w:style w:type="character" w:customStyle="1" w:styleId="IAStextChar">
    <w:name w:val="IAS text Char"/>
    <w:link w:val="IAStext"/>
    <w:rsid w:val="00A5269A"/>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A5269A"/>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link w:val="Commentarybody"/>
    <w:rsid w:val="00A5269A"/>
    <w:rPr>
      <w:rFonts w:ascii="EYInterstate Light" w:eastAsia="Times New Roman" w:hAnsi="EYInterstate Light" w:cs="Arial"/>
      <w:color w:val="000000"/>
      <w:sz w:val="16"/>
      <w:szCs w:val="20"/>
      <w:lang w:val="en-GB"/>
    </w:rPr>
  </w:style>
  <w:style w:type="character" w:customStyle="1" w:styleId="000Normal3">
    <w:name w:val="000 Normal Знак Знак Знак Знак"/>
    <w:rsid w:val="00A5269A"/>
    <w:rPr>
      <w:rFonts w:ascii="Garamond" w:hAnsi="Garamond" w:cs="Times"/>
      <w:sz w:val="24"/>
      <w:szCs w:val="24"/>
      <w:lang w:val="en-GB" w:eastAsia="en-US" w:bidi="ar-SA"/>
    </w:rPr>
  </w:style>
  <w:style w:type="character" w:customStyle="1" w:styleId="affff0">
    <w:name w:val="Знак Знак Знак Знак"/>
    <w:rsid w:val="00A5269A"/>
    <w:rPr>
      <w:rFonts w:ascii="Palatino Linotype" w:hAnsi="Palatino Linotype" w:cs="Arial"/>
      <w:b/>
      <w:sz w:val="22"/>
      <w:szCs w:val="22"/>
      <w:lang w:val="ru-RU"/>
    </w:rPr>
  </w:style>
  <w:style w:type="paragraph" w:customStyle="1" w:styleId="Style19">
    <w:name w:val="Style19"/>
    <w:basedOn w:val="afb"/>
    <w:qFormat/>
    <w:rsid w:val="00A5269A"/>
    <w:pPr>
      <w:widowControl/>
      <w:overflowPunct w:val="0"/>
      <w:autoSpaceDE w:val="0"/>
      <w:autoSpaceDN w:val="0"/>
      <w:adjustRightInd w:val="0"/>
      <w:spacing w:before="120"/>
      <w:ind w:right="-23"/>
      <w:textAlignment w:val="baseline"/>
    </w:pPr>
    <w:rPr>
      <w:rFonts w:ascii="Garamond" w:hAnsi="Garamond"/>
      <w:snapToGrid/>
      <w:sz w:val="20"/>
      <w:lang w:val="en-GB" w:eastAsia="en-US"/>
    </w:rPr>
  </w:style>
  <w:style w:type="character" w:customStyle="1" w:styleId="DinaBD">
    <w:name w:val="Dina BD Знак Знак"/>
    <w:rsid w:val="00A5269A"/>
    <w:rPr>
      <w:rFonts w:ascii="Garamond" w:hAnsi="Garamond" w:cs="Times"/>
      <w:bCs/>
      <w:lang w:val="en-GB" w:eastAsia="en-US" w:bidi="ar-SA"/>
    </w:rPr>
  </w:style>
  <w:style w:type="character" w:customStyle="1" w:styleId="StyleGaramond10pt">
    <w:name w:val="Style Garamond 10 pt"/>
    <w:rsid w:val="00A5269A"/>
    <w:rPr>
      <w:rFonts w:ascii="Palatino Linotype" w:hAnsi="Palatino Linotype"/>
      <w:b/>
      <w:sz w:val="18"/>
    </w:rPr>
  </w:style>
  <w:style w:type="paragraph" w:customStyle="1" w:styleId="1f1">
    <w:name w:val="Знак Знак1 Знак"/>
    <w:basedOn w:val="a2"/>
    <w:autoRedefine/>
    <w:rsid w:val="00A5269A"/>
    <w:pPr>
      <w:spacing w:after="160" w:line="240" w:lineRule="exact"/>
      <w:ind w:right="-23"/>
    </w:pPr>
    <w:rPr>
      <w:rFonts w:eastAsia="SimSun"/>
      <w:b/>
      <w:bCs/>
      <w:sz w:val="28"/>
      <w:szCs w:val="28"/>
      <w:lang w:val="en-US"/>
    </w:rPr>
  </w:style>
  <w:style w:type="paragraph" w:customStyle="1" w:styleId="2b">
    <w:name w:val="Основной текст2"/>
    <w:basedOn w:val="a2"/>
    <w:rsid w:val="00A5269A"/>
    <w:pPr>
      <w:overflowPunct w:val="0"/>
      <w:autoSpaceDE w:val="0"/>
      <w:autoSpaceDN w:val="0"/>
      <w:adjustRightInd w:val="0"/>
      <w:spacing w:before="120" w:after="120"/>
      <w:ind w:left="-142"/>
      <w:jc w:val="both"/>
      <w:textAlignment w:val="baseline"/>
    </w:pPr>
    <w:rPr>
      <w:rFonts w:ascii="Garamond" w:hAnsi="Garamond"/>
      <w:sz w:val="20"/>
      <w:szCs w:val="20"/>
      <w:lang w:val="en-GB"/>
    </w:rPr>
  </w:style>
  <w:style w:type="paragraph" w:customStyle="1" w:styleId="1f2">
    <w:name w:val="Без интервала1"/>
    <w:uiPriority w:val="1"/>
    <w:qFormat/>
    <w:rsid w:val="00A5269A"/>
    <w:pPr>
      <w:overflowPunct w:val="0"/>
      <w:autoSpaceDE w:val="0"/>
      <w:autoSpaceDN w:val="0"/>
      <w:adjustRightInd w:val="0"/>
      <w:spacing w:line="240" w:lineRule="auto"/>
      <w:jc w:val="both"/>
      <w:textAlignment w:val="baseline"/>
    </w:pPr>
    <w:rPr>
      <w:rFonts w:ascii="Times" w:eastAsia="Times New Roman" w:hAnsi="Times" w:cs="Times"/>
      <w:sz w:val="24"/>
      <w:szCs w:val="24"/>
      <w:lang w:val="en-GB"/>
    </w:rPr>
  </w:style>
  <w:style w:type="paragraph" w:customStyle="1" w:styleId="Heading2">
    <w:name w:val="Heading2"/>
    <w:basedOn w:val="4"/>
    <w:autoRedefine/>
    <w:rsid w:val="00A5269A"/>
    <w:pPr>
      <w:keepLines w:val="0"/>
      <w:tabs>
        <w:tab w:val="decimal" w:pos="532"/>
      </w:tabs>
      <w:overflowPunct w:val="0"/>
      <w:autoSpaceDE w:val="0"/>
      <w:autoSpaceDN w:val="0"/>
      <w:adjustRightInd w:val="0"/>
      <w:spacing w:before="240"/>
      <w:ind w:right="-23"/>
      <w:textAlignment w:val="baseline"/>
    </w:pPr>
    <w:rPr>
      <w:rFonts w:ascii="Palatino Linotype" w:eastAsia="Times New Roman" w:hAnsi="Palatino Linotype" w:cs="Times New Roman"/>
      <w:b w:val="0"/>
      <w:bCs w:val="0"/>
      <w:i/>
      <w:iCs/>
      <w:color w:val="auto"/>
      <w:sz w:val="18"/>
      <w:szCs w:val="18"/>
    </w:rPr>
  </w:style>
  <w:style w:type="character" w:customStyle="1" w:styleId="FooterChar">
    <w:name w:val="Footer Char"/>
    <w:locked/>
    <w:rsid w:val="00A5269A"/>
    <w:rPr>
      <w:rFonts w:ascii="Times" w:hAnsi="Times" w:cs="Times"/>
      <w:sz w:val="24"/>
      <w:szCs w:val="24"/>
      <w:lang w:val="en-GB"/>
    </w:rPr>
  </w:style>
  <w:style w:type="paragraph" w:customStyle="1" w:styleId="111">
    <w:name w:val="Абзац списка11"/>
    <w:basedOn w:val="a2"/>
    <w:rsid w:val="00A5269A"/>
    <w:pPr>
      <w:spacing w:after="200" w:line="276" w:lineRule="auto"/>
      <w:ind w:left="720"/>
    </w:pPr>
    <w:rPr>
      <w:rFonts w:ascii="Calibri" w:hAnsi="Calibri"/>
      <w:sz w:val="22"/>
      <w:szCs w:val="22"/>
    </w:rPr>
  </w:style>
  <w:style w:type="character" w:customStyle="1" w:styleId="mw-headline">
    <w:name w:val="mw-headline"/>
    <w:rsid w:val="00A5269A"/>
  </w:style>
  <w:style w:type="paragraph" w:customStyle="1" w:styleId="StyleNormaltextGaramond10ptLeft-062cmRight-043">
    <w:name w:val="Style Normal text + Garamond 10 pt Left:  -0.62 cm Right:  -0.43..."/>
    <w:basedOn w:val="Normaltext"/>
    <w:link w:val="StyleNormaltextGaramond10ptLeft-062cmRight-043Char"/>
    <w:rsid w:val="00A5269A"/>
    <w:pPr>
      <w:spacing w:before="120" w:line="240" w:lineRule="auto"/>
      <w:ind w:right="0"/>
    </w:pPr>
    <w:rPr>
      <w:rFonts w:ascii="Garamond" w:hAnsi="Garamond"/>
      <w:sz w:val="20"/>
      <w:szCs w:val="20"/>
    </w:rPr>
  </w:style>
  <w:style w:type="character" w:customStyle="1" w:styleId="StyleNormaltextGaramond10ptLeft-062cmRight-043Char">
    <w:name w:val="Style Normal text + Garamond 10 pt Left:  -0.62 cm Right:  -0.43... Char"/>
    <w:link w:val="StyleNormaltextGaramond10ptLeft-062cmRight-043"/>
    <w:rsid w:val="00A5269A"/>
    <w:rPr>
      <w:rFonts w:ascii="Garamond" w:hAnsi="Garamond"/>
      <w:sz w:val="20"/>
      <w:szCs w:val="20"/>
    </w:rPr>
  </w:style>
  <w:style w:type="paragraph" w:customStyle="1" w:styleId="headingDina">
    <w:name w:val="heading Dina"/>
    <w:basedOn w:val="4"/>
    <w:link w:val="headingDinaChar"/>
    <w:rsid w:val="00A5269A"/>
    <w:pPr>
      <w:keepNext w:val="0"/>
      <w:keepLines w:val="0"/>
      <w:tabs>
        <w:tab w:val="right" w:pos="9214"/>
      </w:tabs>
      <w:overflowPunct w:val="0"/>
      <w:autoSpaceDE w:val="0"/>
      <w:autoSpaceDN w:val="0"/>
      <w:adjustRightInd w:val="0"/>
      <w:spacing w:before="240"/>
      <w:jc w:val="both"/>
      <w:textAlignment w:val="baseline"/>
    </w:pPr>
    <w:rPr>
      <w:rFonts w:ascii="Palatino Linotype" w:eastAsia="Times New Roman" w:hAnsi="Palatino Linotype" w:cs="Times New Roman"/>
      <w:b w:val="0"/>
      <w:bCs w:val="0"/>
      <w:i/>
      <w:iCs/>
      <w:color w:val="auto"/>
      <w:sz w:val="18"/>
      <w:szCs w:val="18"/>
      <w:lang w:val="en-GB"/>
    </w:rPr>
  </w:style>
  <w:style w:type="character" w:customStyle="1" w:styleId="headingDinaChar">
    <w:name w:val="heading Dina Char"/>
    <w:link w:val="headingDina"/>
    <w:rsid w:val="00A5269A"/>
    <w:rPr>
      <w:rFonts w:ascii="Palatino Linotype" w:eastAsia="Times New Roman" w:hAnsi="Palatino Linotype" w:cs="Times New Roman"/>
      <w:b/>
      <w:bCs/>
      <w:sz w:val="18"/>
      <w:szCs w:val="18"/>
      <w:lang w:val="en-GB"/>
    </w:rPr>
  </w:style>
  <w:style w:type="paragraph" w:customStyle="1" w:styleId="Style11">
    <w:name w:val="Style11"/>
    <w:basedOn w:val="a2"/>
    <w:qFormat/>
    <w:rsid w:val="00A5269A"/>
    <w:pPr>
      <w:widowControl w:val="0"/>
      <w:numPr>
        <w:numId w:val="12"/>
      </w:numPr>
      <w:tabs>
        <w:tab w:val="left" w:pos="720"/>
      </w:tabs>
      <w:overflowPunct w:val="0"/>
      <w:autoSpaceDE w:val="0"/>
      <w:autoSpaceDN w:val="0"/>
      <w:adjustRightInd w:val="0"/>
      <w:spacing w:before="240" w:line="360" w:lineRule="atLeast"/>
      <w:textAlignment w:val="baseline"/>
      <w:outlineLvl w:val="2"/>
    </w:pPr>
    <w:rPr>
      <w:rFonts w:ascii="Palatino Linotype" w:hAnsi="Palatino Linotype"/>
      <w:b/>
      <w:bCs/>
      <w:sz w:val="22"/>
      <w:szCs w:val="22"/>
      <w:lang w:val="en-GB"/>
    </w:rPr>
  </w:style>
  <w:style w:type="paragraph" w:customStyle="1" w:styleId="N10">
    <w:name w:val="N 1"/>
    <w:basedOn w:val="Heading1N"/>
    <w:next w:val="Normaltext"/>
    <w:qFormat/>
    <w:rsid w:val="00740356"/>
    <w:pPr>
      <w:spacing w:before="120" w:after="120"/>
    </w:pPr>
    <w:rPr>
      <w:rFonts w:ascii="Times New Roman" w:hAnsi="Times New Roman"/>
      <w:iCs/>
      <w:sz w:val="32"/>
      <w:lang w:val="en-US"/>
    </w:rPr>
  </w:style>
  <w:style w:type="paragraph" w:customStyle="1" w:styleId="Style17">
    <w:name w:val="Style17"/>
    <w:basedOn w:val="Normaltext"/>
    <w:qFormat/>
    <w:rsid w:val="00A5269A"/>
    <w:pPr>
      <w:widowControl w:val="0"/>
      <w:spacing w:before="240" w:line="240" w:lineRule="auto"/>
      <w:ind w:right="-23"/>
      <w:jc w:val="left"/>
    </w:pPr>
    <w:rPr>
      <w:rFonts w:ascii="Garamond" w:hAnsi="Garamond" w:cs="Arial"/>
      <w:i/>
      <w:sz w:val="20"/>
      <w:szCs w:val="20"/>
    </w:rPr>
  </w:style>
  <w:style w:type="character" w:customStyle="1" w:styleId="hl1">
    <w:name w:val="hl1"/>
    <w:rsid w:val="00A5269A"/>
    <w:rPr>
      <w:color w:val="4682B4"/>
    </w:rPr>
  </w:style>
  <w:style w:type="paragraph" w:customStyle="1" w:styleId="11">
    <w:name w:val="Знак Знак1 Знак1"/>
    <w:basedOn w:val="a2"/>
    <w:autoRedefine/>
    <w:rsid w:val="00A5269A"/>
    <w:pPr>
      <w:numPr>
        <w:numId w:val="19"/>
      </w:numPr>
      <w:spacing w:after="160" w:line="240" w:lineRule="exact"/>
      <w:ind w:left="0" w:firstLine="0"/>
    </w:pPr>
    <w:rPr>
      <w:rFonts w:eastAsia="SimSun"/>
      <w:b/>
      <w:bCs/>
      <w:sz w:val="28"/>
      <w:szCs w:val="28"/>
      <w:lang w:val="en-US"/>
    </w:rPr>
  </w:style>
  <w:style w:type="paragraph" w:customStyle="1" w:styleId="tblNumber01">
    <w:name w:val="tbl'Number_01"/>
    <w:basedOn w:val="a2"/>
    <w:link w:val="tblNumber01Char"/>
    <w:rsid w:val="00A5269A"/>
    <w:pPr>
      <w:ind w:right="57"/>
      <w:jc w:val="right"/>
    </w:pPr>
    <w:rPr>
      <w:rFonts w:ascii="Arial" w:eastAsia="Arial Unicode MS" w:hAnsi="Arial"/>
      <w:sz w:val="18"/>
      <w:szCs w:val="20"/>
      <w:lang w:val="en-US"/>
    </w:rPr>
  </w:style>
  <w:style w:type="character" w:customStyle="1" w:styleId="tblNumber01Char">
    <w:name w:val="tbl'Number_01 Char"/>
    <w:link w:val="tblNumber01"/>
    <w:rsid w:val="00A5269A"/>
    <w:rPr>
      <w:rFonts w:ascii="Arial" w:eastAsia="Arial Unicode MS" w:hAnsi="Arial" w:cs="Times New Roman"/>
      <w:sz w:val="18"/>
      <w:szCs w:val="20"/>
      <w:lang w:val="en-US"/>
    </w:rPr>
  </w:style>
  <w:style w:type="paragraph" w:customStyle="1" w:styleId="100">
    <w:name w:val="Обычный + 10 пт"/>
    <w:aliases w:val="По ширине,Первая строка:  1,27 см + Слева:  0 см,Первая стро..."/>
    <w:basedOn w:val="a2"/>
    <w:link w:val="101"/>
    <w:rsid w:val="00897E01"/>
    <w:pPr>
      <w:ind w:left="348" w:firstLine="360"/>
      <w:jc w:val="both"/>
    </w:pPr>
    <w:rPr>
      <w:iCs/>
      <w:sz w:val="20"/>
      <w:szCs w:val="20"/>
      <w:lang w:eastAsia="ru-RU"/>
    </w:rPr>
  </w:style>
  <w:style w:type="character" w:customStyle="1" w:styleId="101">
    <w:name w:val="Обычный + 10 пт Знак"/>
    <w:aliases w:val="По ширине Знак,Первая строка:  1 Знак,27 см + Слева:  0 см Знак,Первая стро... Знак"/>
    <w:link w:val="100"/>
    <w:rsid w:val="00897E01"/>
    <w:rPr>
      <w:rFonts w:ascii="Times New Roman" w:eastAsia="Times New Roman" w:hAnsi="Times New Roman" w:cs="Times New Roman"/>
      <w:iCs/>
      <w:sz w:val="20"/>
      <w:szCs w:val="20"/>
      <w:lang w:eastAsia="ru-RU"/>
    </w:rPr>
  </w:style>
  <w:style w:type="character" w:customStyle="1" w:styleId="affc">
    <w:name w:val="Без интервала Знак"/>
    <w:aliases w:val="Обя Знак,мелкий Знак,мой рабочий Знак,Айгерим Знак,норма Знак,свой Знак,Елжан Знак,No Spacing1 Знак"/>
    <w:basedOn w:val="a3"/>
    <w:link w:val="affb"/>
    <w:uiPriority w:val="1"/>
    <w:rsid w:val="00BD7BAF"/>
    <w:rPr>
      <w:rFonts w:ascii="Times New Roman" w:eastAsia="Batang" w:hAnsi="Times New Roman" w:cs="Times New Roman"/>
      <w:sz w:val="24"/>
      <w:szCs w:val="24"/>
      <w:lang w:eastAsia="ko-KR"/>
    </w:rPr>
  </w:style>
  <w:style w:type="character" w:customStyle="1" w:styleId="j24">
    <w:name w:val="j24"/>
    <w:basedOn w:val="a3"/>
    <w:rsid w:val="009E5ECB"/>
  </w:style>
  <w:style w:type="character" w:customStyle="1" w:styleId="content">
    <w:name w:val="content"/>
    <w:basedOn w:val="a3"/>
    <w:rsid w:val="006E715B"/>
  </w:style>
  <w:style w:type="table" w:customStyle="1" w:styleId="310">
    <w:name w:val="Таблица простая 31"/>
    <w:basedOn w:val="a4"/>
    <w:uiPriority w:val="43"/>
    <w:rsid w:val="007F32B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wheaderChar">
    <w:name w:val="Row header Char"/>
    <w:link w:val="Rowheader"/>
    <w:rsid w:val="00CF1CC0"/>
    <w:rPr>
      <w:rFonts w:ascii="Arial" w:eastAsia="Times New Roman" w:hAnsi="Arial" w:cs="Times New Roman"/>
      <w:b/>
      <w:sz w:val="18"/>
      <w:szCs w:val="20"/>
      <w:lang w:val="en-GB"/>
    </w:rPr>
  </w:style>
  <w:style w:type="paragraph" w:customStyle="1" w:styleId="a1">
    <w:name w:val="Статья"/>
    <w:basedOn w:val="a2"/>
    <w:rsid w:val="00D802CF"/>
    <w:pPr>
      <w:widowControl w:val="0"/>
      <w:numPr>
        <w:numId w:val="21"/>
      </w:numPr>
      <w:tabs>
        <w:tab w:val="left" w:pos="0"/>
        <w:tab w:val="left" w:pos="993"/>
      </w:tabs>
      <w:adjustRightInd w:val="0"/>
      <w:jc w:val="both"/>
    </w:pPr>
    <w:rPr>
      <w:rFonts w:ascii="Arial" w:hAnsi="Arial" w:cs="Arial"/>
      <w:lang w:eastAsia="ru-RU"/>
    </w:rPr>
  </w:style>
  <w:style w:type="paragraph" w:customStyle="1" w:styleId="j13">
    <w:name w:val="j13"/>
    <w:basedOn w:val="a2"/>
    <w:rsid w:val="00CE5CA7"/>
    <w:pPr>
      <w:spacing w:before="100" w:beforeAutospacing="1" w:after="100" w:afterAutospacing="1"/>
    </w:pPr>
    <w:rPr>
      <w:lang w:eastAsia="ru-RU"/>
    </w:rPr>
  </w:style>
  <w:style w:type="character" w:customStyle="1" w:styleId="s191">
    <w:name w:val="s191"/>
    <w:basedOn w:val="a3"/>
    <w:rsid w:val="004730C7"/>
    <w:rPr>
      <w:vanish/>
      <w:webHidden w:val="0"/>
      <w:specVanish w:val="0"/>
    </w:rPr>
  </w:style>
  <w:style w:type="character" w:customStyle="1" w:styleId="Tablenumbers1Char">
    <w:name w:val="Table numbers1 Char"/>
    <w:link w:val="Tablenumbers1"/>
    <w:locked/>
    <w:rsid w:val="00175423"/>
    <w:rPr>
      <w:rFonts w:ascii="Arial" w:eastAsia="Times New Roman" w:hAnsi="Arial" w:cs="Times New Roman"/>
      <w:sz w:val="18"/>
      <w:szCs w:val="20"/>
      <w:lang w:val="en-GB"/>
    </w:rPr>
  </w:style>
  <w:style w:type="character" w:customStyle="1" w:styleId="TabletextChar0">
    <w:name w:val="Table text Char"/>
    <w:rsid w:val="00175423"/>
    <w:rPr>
      <w:rFonts w:ascii="Arial" w:eastAsia="Times New Roman" w:hAnsi="Arial" w:cs="Times New Roman"/>
      <w:sz w:val="18"/>
      <w:szCs w:val="20"/>
      <w:lang w:val="en-GB"/>
    </w:rPr>
  </w:style>
  <w:style w:type="character" w:customStyle="1" w:styleId="Hyperlink1">
    <w:name w:val="Hyperlink.1"/>
    <w:basedOn w:val="a3"/>
    <w:rsid w:val="00530D3B"/>
    <w:rPr>
      <w:rFonts w:ascii="Times New Roman" w:eastAsia="Times New Roman" w:hAnsi="Times New Roman" w:cs="Times New Roman"/>
      <w:sz w:val="24"/>
      <w:szCs w:val="24"/>
    </w:rPr>
  </w:style>
  <w:style w:type="character" w:customStyle="1" w:styleId="affff1">
    <w:name w:val="Нет"/>
    <w:rsid w:val="00645639"/>
  </w:style>
  <w:style w:type="character" w:customStyle="1" w:styleId="fontstyle01">
    <w:name w:val="fontstyle01"/>
    <w:basedOn w:val="a3"/>
    <w:rsid w:val="00493976"/>
    <w:rPr>
      <w:rFonts w:ascii="TimesNewRomanPSMT" w:hAnsi="TimesNewRomanPSMT" w:hint="default"/>
      <w:b w:val="0"/>
      <w:bCs w:val="0"/>
      <w:i w:val="0"/>
      <w:iCs w:val="0"/>
      <w:color w:val="000000"/>
      <w:sz w:val="24"/>
      <w:szCs w:val="24"/>
    </w:rPr>
  </w:style>
  <w:style w:type="character" w:customStyle="1" w:styleId="Heading5Char">
    <w:name w:val="Heading 5 Char"/>
    <w:basedOn w:val="a3"/>
    <w:uiPriority w:val="9"/>
    <w:rsid w:val="00EA1B2A"/>
    <w:rPr>
      <w:rFonts w:ascii="Arial" w:eastAsia="Arial" w:hAnsi="Arial" w:cs="Arial"/>
      <w:b/>
      <w:bCs/>
      <w:color w:val="444444"/>
      <w:sz w:val="28"/>
      <w:szCs w:val="28"/>
    </w:rPr>
  </w:style>
  <w:style w:type="paragraph" w:customStyle="1" w:styleId="bodytext40">
    <w:name w:val="bodytext40"/>
    <w:basedOn w:val="a2"/>
    <w:rsid w:val="008C2052"/>
    <w:rPr>
      <w:lang w:eastAsia="ru-RU"/>
    </w:rPr>
  </w:style>
  <w:style w:type="character" w:customStyle="1" w:styleId="vglow">
    <w:name w:val="v_glow"/>
    <w:basedOn w:val="a3"/>
    <w:rsid w:val="00BB7170"/>
  </w:style>
  <w:style w:type="paragraph" w:styleId="HTML">
    <w:name w:val="HTML Preformatted"/>
    <w:basedOn w:val="a2"/>
    <w:link w:val="HTML0"/>
    <w:uiPriority w:val="99"/>
    <w:unhideWhenUsed/>
    <w:rsid w:val="001F6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3"/>
    <w:link w:val="HTML"/>
    <w:uiPriority w:val="99"/>
    <w:rsid w:val="001F6396"/>
    <w:rPr>
      <w:rFonts w:ascii="Courier New" w:eastAsia="Times New Roman" w:hAnsi="Courier New" w:cs="Courier New"/>
      <w:sz w:val="20"/>
      <w:szCs w:val="20"/>
      <w:lang w:eastAsia="ru-RU"/>
    </w:rPr>
  </w:style>
  <w:style w:type="character" w:customStyle="1" w:styleId="y2iqfc">
    <w:name w:val="y2iqfc"/>
    <w:basedOn w:val="a3"/>
    <w:rsid w:val="001F6396"/>
  </w:style>
  <w:style w:type="paragraph" w:customStyle="1" w:styleId="pji">
    <w:name w:val="pji"/>
    <w:basedOn w:val="a2"/>
    <w:rsid w:val="000558DD"/>
    <w:pPr>
      <w:spacing w:before="100" w:beforeAutospacing="1" w:after="100" w:afterAutospacing="1"/>
    </w:pPr>
    <w:rPr>
      <w:lang w:eastAsia="ru-RU"/>
    </w:rPr>
  </w:style>
  <w:style w:type="table" w:customStyle="1" w:styleId="1f3">
    <w:name w:val="АудитСИтогом1"/>
    <w:basedOn w:val="a4"/>
    <w:next w:val="af3"/>
    <w:uiPriority w:val="39"/>
    <w:rsid w:val="00B46B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2"/>
    <w:next w:val="a2"/>
    <w:uiPriority w:val="9"/>
    <w:qFormat/>
    <w:rsid w:val="00B938CC"/>
    <w:pPr>
      <w:keepNext/>
      <w:keepLines/>
      <w:spacing w:before="240" w:line="259" w:lineRule="auto"/>
      <w:outlineLvl w:val="0"/>
    </w:pPr>
    <w:rPr>
      <w:rFonts w:ascii="Calibri Light" w:hAnsi="Calibri Light"/>
      <w:color w:val="2E74B5"/>
      <w:sz w:val="32"/>
      <w:szCs w:val="32"/>
    </w:rPr>
  </w:style>
  <w:style w:type="table" w:customStyle="1" w:styleId="1f4">
    <w:name w:val="Сетка таблицы1"/>
    <w:basedOn w:val="a4"/>
    <w:next w:val="af3"/>
    <w:uiPriority w:val="39"/>
    <w:rsid w:val="00B938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Верхний колонтитул1"/>
    <w:basedOn w:val="a2"/>
    <w:next w:val="a6"/>
    <w:uiPriority w:val="99"/>
    <w:unhideWhenUsed/>
    <w:rsid w:val="00B938CC"/>
    <w:pPr>
      <w:tabs>
        <w:tab w:val="center" w:pos="4677"/>
        <w:tab w:val="right" w:pos="9355"/>
      </w:tabs>
    </w:pPr>
    <w:rPr>
      <w:rFonts w:asciiTheme="minorHAnsi" w:eastAsiaTheme="minorHAnsi" w:hAnsiTheme="minorHAnsi" w:cstheme="minorBidi"/>
      <w:sz w:val="22"/>
      <w:szCs w:val="22"/>
    </w:rPr>
  </w:style>
  <w:style w:type="paragraph" w:customStyle="1" w:styleId="1f6">
    <w:name w:val="Нижний колонтитул1"/>
    <w:basedOn w:val="a2"/>
    <w:next w:val="a8"/>
    <w:uiPriority w:val="99"/>
    <w:unhideWhenUsed/>
    <w:rsid w:val="00B938CC"/>
    <w:pPr>
      <w:tabs>
        <w:tab w:val="center" w:pos="4677"/>
        <w:tab w:val="right" w:pos="9355"/>
      </w:tabs>
    </w:pPr>
    <w:rPr>
      <w:rFonts w:asciiTheme="minorHAnsi" w:eastAsiaTheme="minorHAnsi" w:hAnsiTheme="minorHAnsi" w:cstheme="minorBidi"/>
      <w:sz w:val="22"/>
      <w:szCs w:val="22"/>
    </w:rPr>
  </w:style>
  <w:style w:type="character" w:customStyle="1" w:styleId="FontStyle26">
    <w:name w:val="Font Style26"/>
    <w:uiPriority w:val="99"/>
    <w:rsid w:val="00B938CC"/>
    <w:rPr>
      <w:rFonts w:ascii="Arial" w:hAnsi="Arial" w:cs="Arial"/>
      <w:sz w:val="22"/>
      <w:szCs w:val="22"/>
    </w:rPr>
  </w:style>
  <w:style w:type="paragraph" w:customStyle="1" w:styleId="Default">
    <w:name w:val="Default"/>
    <w:rsid w:val="00B938CC"/>
    <w:pPr>
      <w:autoSpaceDE w:val="0"/>
      <w:autoSpaceDN w:val="0"/>
      <w:adjustRightInd w:val="0"/>
      <w:spacing w:line="240" w:lineRule="auto"/>
    </w:pPr>
    <w:rPr>
      <w:rFonts w:ascii="Times New Roman" w:hAnsi="Times New Roman" w:cs="Times New Roman"/>
      <w:color w:val="000000"/>
      <w:sz w:val="24"/>
      <w:szCs w:val="24"/>
    </w:rPr>
  </w:style>
  <w:style w:type="character" w:customStyle="1" w:styleId="1f7">
    <w:name w:val="Гиперссылка1"/>
    <w:basedOn w:val="a3"/>
    <w:uiPriority w:val="99"/>
    <w:unhideWhenUsed/>
    <w:rsid w:val="00B938CC"/>
    <w:rPr>
      <w:color w:val="0563C1"/>
      <w:u w:val="single"/>
    </w:rPr>
  </w:style>
  <w:style w:type="character" w:customStyle="1" w:styleId="FontStyle48">
    <w:name w:val="Font Style48"/>
    <w:basedOn w:val="a3"/>
    <w:uiPriority w:val="99"/>
    <w:rsid w:val="00B938CC"/>
    <w:rPr>
      <w:rFonts w:ascii="Garamond" w:hAnsi="Garamond" w:cs="Garamond" w:hint="default"/>
      <w:color w:val="000000"/>
      <w:sz w:val="22"/>
      <w:szCs w:val="22"/>
    </w:rPr>
  </w:style>
  <w:style w:type="paragraph" w:customStyle="1" w:styleId="211">
    <w:name w:val="Основной текст с отступом 21"/>
    <w:basedOn w:val="a2"/>
    <w:next w:val="23"/>
    <w:uiPriority w:val="99"/>
    <w:unhideWhenUsed/>
    <w:rsid w:val="00B938CC"/>
    <w:pPr>
      <w:spacing w:after="120" w:line="480" w:lineRule="auto"/>
      <w:ind w:left="283"/>
    </w:pPr>
    <w:rPr>
      <w:rFonts w:asciiTheme="minorHAnsi" w:eastAsiaTheme="minorHAnsi" w:hAnsiTheme="minorHAnsi" w:cstheme="minorBidi"/>
      <w:sz w:val="22"/>
      <w:szCs w:val="22"/>
    </w:rPr>
  </w:style>
  <w:style w:type="character" w:customStyle="1" w:styleId="2c">
    <w:name w:val="Основной текст (2)"/>
    <w:rsid w:val="00B938CC"/>
    <w:rPr>
      <w:rFonts w:ascii="Arial Unicode MS" w:eastAsia="Arial Unicode MS" w:hAnsi="Arial Unicode MS" w:cs="Arial Unicode MS" w:hint="eastAsia"/>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PreformattedText">
    <w:name w:val="Preformatted Text"/>
    <w:basedOn w:val="a2"/>
    <w:rsid w:val="00B938CC"/>
    <w:pPr>
      <w:widowControl w:val="0"/>
      <w:suppressAutoHyphens/>
    </w:pPr>
    <w:rPr>
      <w:rFonts w:ascii="Liberation Mono" w:eastAsia="Courier New" w:hAnsi="Liberation Mono" w:cs="Liberation Mono"/>
      <w:sz w:val="20"/>
      <w:szCs w:val="20"/>
      <w:lang w:val="en-US" w:eastAsia="zh-CN" w:bidi="hi-IN"/>
    </w:rPr>
  </w:style>
  <w:style w:type="paragraph" w:customStyle="1" w:styleId="1f8">
    <w:name w:val="Текст выноски1"/>
    <w:basedOn w:val="a2"/>
    <w:next w:val="af1"/>
    <w:uiPriority w:val="99"/>
    <w:semiHidden/>
    <w:unhideWhenUsed/>
    <w:rsid w:val="00B938CC"/>
    <w:rPr>
      <w:rFonts w:ascii="Segoe UI" w:eastAsiaTheme="minorHAnsi" w:hAnsi="Segoe UI" w:cs="Segoe UI"/>
      <w:sz w:val="18"/>
      <w:szCs w:val="18"/>
    </w:rPr>
  </w:style>
  <w:style w:type="paragraph" w:customStyle="1" w:styleId="1f9">
    <w:name w:val="Текст примечания1"/>
    <w:basedOn w:val="a2"/>
    <w:next w:val="aff7"/>
    <w:uiPriority w:val="99"/>
    <w:semiHidden/>
    <w:unhideWhenUsed/>
    <w:rsid w:val="00B938CC"/>
    <w:pPr>
      <w:spacing w:after="160"/>
    </w:pPr>
    <w:rPr>
      <w:rFonts w:asciiTheme="minorHAnsi" w:eastAsiaTheme="minorHAnsi" w:hAnsiTheme="minorHAnsi" w:cstheme="minorBidi"/>
      <w:sz w:val="20"/>
      <w:szCs w:val="20"/>
    </w:rPr>
  </w:style>
  <w:style w:type="paragraph" w:customStyle="1" w:styleId="1fa">
    <w:name w:val="Тема примечания1"/>
    <w:basedOn w:val="aff7"/>
    <w:next w:val="aff7"/>
    <w:uiPriority w:val="99"/>
    <w:semiHidden/>
    <w:unhideWhenUsed/>
    <w:rsid w:val="00B938CC"/>
    <w:pPr>
      <w:overflowPunct/>
      <w:autoSpaceDE/>
      <w:autoSpaceDN/>
      <w:adjustRightInd/>
      <w:spacing w:after="160"/>
      <w:jc w:val="left"/>
      <w:textAlignment w:val="auto"/>
    </w:pPr>
    <w:rPr>
      <w:rFonts w:asciiTheme="minorHAnsi" w:eastAsiaTheme="minorHAnsi" w:hAnsiTheme="minorHAnsi" w:cstheme="minorBidi"/>
      <w:b/>
      <w:bCs/>
      <w:lang w:val="ru-RU"/>
    </w:rPr>
  </w:style>
  <w:style w:type="paragraph" w:customStyle="1" w:styleId="Style16">
    <w:name w:val="Style16"/>
    <w:basedOn w:val="a2"/>
    <w:rsid w:val="00B938CC"/>
    <w:pPr>
      <w:widowControl w:val="0"/>
      <w:autoSpaceDE w:val="0"/>
      <w:autoSpaceDN w:val="0"/>
      <w:adjustRightInd w:val="0"/>
      <w:spacing w:line="299" w:lineRule="exact"/>
      <w:ind w:firstLine="720"/>
      <w:jc w:val="both"/>
    </w:pPr>
    <w:rPr>
      <w:lang w:eastAsia="ru-RU"/>
    </w:rPr>
  </w:style>
  <w:style w:type="paragraph" w:customStyle="1" w:styleId="Style7">
    <w:name w:val="Style7"/>
    <w:basedOn w:val="a2"/>
    <w:rsid w:val="00B938CC"/>
    <w:pPr>
      <w:widowControl w:val="0"/>
      <w:autoSpaceDE w:val="0"/>
      <w:autoSpaceDN w:val="0"/>
      <w:adjustRightInd w:val="0"/>
      <w:spacing w:line="274" w:lineRule="exact"/>
      <w:ind w:firstLine="701"/>
      <w:jc w:val="both"/>
    </w:pPr>
    <w:rPr>
      <w:lang w:eastAsia="ru-RU"/>
    </w:rPr>
  </w:style>
  <w:style w:type="character" w:customStyle="1" w:styleId="FontStyle36">
    <w:name w:val="Font Style36"/>
    <w:basedOn w:val="a3"/>
    <w:rsid w:val="00B938CC"/>
    <w:rPr>
      <w:rFonts w:ascii="Times New Roman" w:hAnsi="Times New Roman" w:cs="Times New Roman"/>
      <w:sz w:val="22"/>
      <w:szCs w:val="22"/>
    </w:rPr>
  </w:style>
  <w:style w:type="character" w:customStyle="1" w:styleId="FontStyle31">
    <w:name w:val="Font Style31"/>
    <w:basedOn w:val="a3"/>
    <w:rsid w:val="00B938CC"/>
    <w:rPr>
      <w:rFonts w:ascii="Times New Roman" w:hAnsi="Times New Roman" w:cs="Times New Roman"/>
      <w:b/>
      <w:bCs/>
      <w:sz w:val="22"/>
      <w:szCs w:val="22"/>
    </w:rPr>
  </w:style>
  <w:style w:type="character" w:customStyle="1" w:styleId="113">
    <w:name w:val="Заголовок 1 Знак1"/>
    <w:basedOn w:val="a3"/>
    <w:uiPriority w:val="9"/>
    <w:rsid w:val="00B938CC"/>
    <w:rPr>
      <w:rFonts w:asciiTheme="majorHAnsi" w:eastAsiaTheme="majorEastAsia" w:hAnsiTheme="majorHAnsi" w:cstheme="majorBidi"/>
      <w:color w:val="2E74B5" w:themeColor="accent1" w:themeShade="BF"/>
      <w:sz w:val="32"/>
      <w:szCs w:val="32"/>
    </w:rPr>
  </w:style>
  <w:style w:type="character" w:customStyle="1" w:styleId="1fb">
    <w:name w:val="Верхний колонтитул Знак1"/>
    <w:basedOn w:val="a3"/>
    <w:uiPriority w:val="99"/>
    <w:semiHidden/>
    <w:rsid w:val="00B938CC"/>
  </w:style>
  <w:style w:type="character" w:customStyle="1" w:styleId="1fc">
    <w:name w:val="Нижний колонтитул Знак1"/>
    <w:basedOn w:val="a3"/>
    <w:uiPriority w:val="99"/>
    <w:semiHidden/>
    <w:rsid w:val="00B938CC"/>
  </w:style>
  <w:style w:type="character" w:customStyle="1" w:styleId="212">
    <w:name w:val="Основной текст с отступом 2 Знак1"/>
    <w:basedOn w:val="a3"/>
    <w:uiPriority w:val="99"/>
    <w:semiHidden/>
    <w:rsid w:val="00B938CC"/>
  </w:style>
  <w:style w:type="character" w:customStyle="1" w:styleId="1fd">
    <w:name w:val="Основной текст Знак1"/>
    <w:basedOn w:val="a3"/>
    <w:uiPriority w:val="99"/>
    <w:semiHidden/>
    <w:rsid w:val="00B938CC"/>
  </w:style>
  <w:style w:type="character" w:customStyle="1" w:styleId="1fe">
    <w:name w:val="Текст выноски Знак1"/>
    <w:basedOn w:val="a3"/>
    <w:uiPriority w:val="99"/>
    <w:semiHidden/>
    <w:rsid w:val="00B938CC"/>
    <w:rPr>
      <w:rFonts w:ascii="Segoe UI" w:hAnsi="Segoe UI" w:cs="Segoe UI"/>
      <w:sz w:val="18"/>
      <w:szCs w:val="18"/>
    </w:rPr>
  </w:style>
  <w:style w:type="character" w:customStyle="1" w:styleId="1ff">
    <w:name w:val="Текст примечания Знак1"/>
    <w:basedOn w:val="a3"/>
    <w:uiPriority w:val="99"/>
    <w:semiHidden/>
    <w:rsid w:val="00B938CC"/>
    <w:rPr>
      <w:sz w:val="20"/>
      <w:szCs w:val="20"/>
    </w:rPr>
  </w:style>
  <w:style w:type="character" w:customStyle="1" w:styleId="1ff0">
    <w:name w:val="Тема примечания Знак1"/>
    <w:basedOn w:val="1ff"/>
    <w:uiPriority w:val="99"/>
    <w:semiHidden/>
    <w:rsid w:val="00B938CC"/>
    <w:rPr>
      <w:b/>
      <w:bCs/>
      <w:sz w:val="20"/>
      <w:szCs w:val="20"/>
    </w:rPr>
  </w:style>
  <w:style w:type="paragraph" w:customStyle="1" w:styleId="pj">
    <w:name w:val="pj"/>
    <w:basedOn w:val="a2"/>
    <w:rsid w:val="00AB4FAA"/>
    <w:pPr>
      <w:ind w:firstLine="400"/>
      <w:jc w:val="both"/>
    </w:pPr>
    <w:rPr>
      <w:color w:val="000000"/>
      <w:lang w:eastAsia="ru-RU"/>
    </w:rPr>
  </w:style>
  <w:style w:type="character" w:customStyle="1" w:styleId="s19">
    <w:name w:val="s19"/>
    <w:rsid w:val="00AB4FAA"/>
    <w:rPr>
      <w:rFonts w:ascii="Times New Roman" w:hAnsi="Times New Roman" w:cs="Times New Roman" w:hint="default"/>
      <w:color w:val="008000"/>
    </w:rPr>
  </w:style>
  <w:style w:type="paragraph" w:customStyle="1" w:styleId="pc">
    <w:name w:val="pc"/>
    <w:basedOn w:val="a2"/>
    <w:rsid w:val="00AB4FAA"/>
    <w:pPr>
      <w:jc w:val="center"/>
    </w:pPr>
    <w:rPr>
      <w:color w:val="000000"/>
      <w:lang w:eastAsia="ru-RU"/>
    </w:rPr>
  </w:style>
  <w:style w:type="paragraph" w:customStyle="1" w:styleId="pr">
    <w:name w:val="pr"/>
    <w:basedOn w:val="a2"/>
    <w:rsid w:val="00AB4FAA"/>
    <w:pPr>
      <w:jc w:val="right"/>
    </w:pPr>
    <w:rPr>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C947B-2B9E-4C03-9E70-7F59BC7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10055</Words>
  <Characters>57315</Characters>
  <Application>Microsoft Office Word</Application>
  <DocSecurity>4</DocSecurity>
  <Lines>477</Lines>
  <Paragraphs>134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Сайфуллаева Айдана Тайровна</dc:creator>
  <cp:lastModifiedBy>Максудова Ольга Аркадьевна</cp:lastModifiedBy>
  <cp:revision>2</cp:revision>
  <cp:lastPrinted>2026-05-12T06:37:00Z</cp:lastPrinted>
  <dcterms:created xsi:type="dcterms:W3CDTF">2026-05-28T07:49:00Z</dcterms:created>
  <dcterms:modified xsi:type="dcterms:W3CDTF">2026-05-28T07:49:00Z</dcterms:modified>
</cp:coreProperties>
</file>